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F64F4" w14:textId="77777777" w:rsidR="004936A4" w:rsidRDefault="004936A4">
      <w:pPr>
        <w:pBdr>
          <w:bottom w:val="dotted" w:sz="24" w:space="1" w:color="000000"/>
        </w:pBdr>
        <w:jc w:val="both"/>
        <w:rPr>
          <w:rFonts w:ascii="Calibri" w:eastAsia="Calibri" w:hAnsi="Calibri" w:cs="Calibri"/>
          <w:b/>
          <w:sz w:val="24"/>
          <w:szCs w:val="24"/>
        </w:rPr>
      </w:pPr>
    </w:p>
    <w:p w14:paraId="53D09FC2" w14:textId="77777777" w:rsidR="004936A4" w:rsidRDefault="004936A4">
      <w:pPr>
        <w:jc w:val="both"/>
        <w:rPr>
          <w:rFonts w:ascii="Calibri" w:eastAsia="Calibri" w:hAnsi="Calibri" w:cs="Calibri"/>
          <w:b/>
          <w:sz w:val="24"/>
          <w:szCs w:val="24"/>
        </w:rPr>
      </w:pPr>
    </w:p>
    <w:p w14:paraId="058DBB62" w14:textId="77777777" w:rsidR="004936A4" w:rsidRDefault="004936A4">
      <w:pPr>
        <w:jc w:val="both"/>
        <w:rPr>
          <w:rFonts w:ascii="Calibri" w:eastAsia="Calibri" w:hAnsi="Calibri" w:cs="Calibri"/>
          <w:b/>
          <w:sz w:val="24"/>
          <w:szCs w:val="24"/>
        </w:rPr>
      </w:pPr>
    </w:p>
    <w:p w14:paraId="295A5347" w14:textId="77777777" w:rsidR="004936A4" w:rsidRDefault="004936A4">
      <w:pPr>
        <w:jc w:val="both"/>
        <w:rPr>
          <w:rFonts w:ascii="Calibri" w:eastAsia="Calibri" w:hAnsi="Calibri" w:cs="Calibri"/>
          <w:b/>
          <w:sz w:val="24"/>
          <w:szCs w:val="24"/>
        </w:rPr>
      </w:pPr>
    </w:p>
    <w:p w14:paraId="093998DF" w14:textId="77777777" w:rsidR="004936A4" w:rsidRDefault="004936A4">
      <w:pPr>
        <w:jc w:val="both"/>
        <w:rPr>
          <w:rFonts w:ascii="Calibri" w:eastAsia="Calibri" w:hAnsi="Calibri" w:cs="Calibri"/>
          <w:b/>
          <w:sz w:val="24"/>
          <w:szCs w:val="24"/>
        </w:rPr>
      </w:pPr>
    </w:p>
    <w:p w14:paraId="01AA60D5" w14:textId="77777777" w:rsidR="004936A4" w:rsidRDefault="004936A4">
      <w:pPr>
        <w:jc w:val="both"/>
        <w:rPr>
          <w:rFonts w:ascii="Calibri" w:eastAsia="Calibri" w:hAnsi="Calibri" w:cs="Calibri"/>
          <w:b/>
          <w:sz w:val="24"/>
          <w:szCs w:val="24"/>
        </w:rPr>
      </w:pPr>
    </w:p>
    <w:p w14:paraId="0051793D" w14:textId="160661FA" w:rsidR="004936A4" w:rsidRDefault="00886E7A">
      <w:pPr>
        <w:jc w:val="both"/>
        <w:rPr>
          <w:rFonts w:ascii="Calibri" w:eastAsia="Calibri" w:hAnsi="Calibri" w:cs="Calibri"/>
          <w:b/>
          <w:sz w:val="24"/>
          <w:szCs w:val="24"/>
        </w:rPr>
      </w:pPr>
      <w:r>
        <w:rPr>
          <w:noProof/>
        </w:rPr>
        <mc:AlternateContent>
          <mc:Choice Requires="wps">
            <w:drawing>
              <wp:anchor distT="0" distB="0" distL="114300" distR="114300" simplePos="0" relativeHeight="251658240" behindDoc="0" locked="0" layoutInCell="1" hidden="0" allowOverlap="1" wp14:anchorId="7B52F450" wp14:editId="5065C2A4">
                <wp:simplePos x="0" y="0"/>
                <wp:positionH relativeFrom="margin">
                  <wp:align>left</wp:align>
                </wp:positionH>
                <wp:positionV relativeFrom="paragraph">
                  <wp:posOffset>234315</wp:posOffset>
                </wp:positionV>
                <wp:extent cx="5783580" cy="1438275"/>
                <wp:effectExtent l="0" t="0" r="26670" b="28575"/>
                <wp:wrapNone/>
                <wp:docPr id="450396768" name="Rectangle 450396768"/>
                <wp:cNvGraphicFramePr/>
                <a:graphic xmlns:a="http://schemas.openxmlformats.org/drawingml/2006/main">
                  <a:graphicData uri="http://schemas.microsoft.com/office/word/2010/wordprocessingShape">
                    <wps:wsp>
                      <wps:cNvSpPr/>
                      <wps:spPr>
                        <a:xfrm>
                          <a:off x="0" y="0"/>
                          <a:ext cx="5783580" cy="1438275"/>
                        </a:xfrm>
                        <a:prstGeom prst="rect">
                          <a:avLst/>
                        </a:prstGeom>
                        <a:solidFill>
                          <a:schemeClr val="lt1"/>
                        </a:solidFill>
                        <a:ln w="19050" cap="rnd" cmpd="sng">
                          <a:solidFill>
                            <a:schemeClr val="accent2"/>
                          </a:solidFill>
                          <a:prstDash val="solid"/>
                          <a:round/>
                          <a:headEnd type="none" w="sm" len="sm"/>
                          <a:tailEnd type="none" w="sm" len="sm"/>
                        </a:ln>
                      </wps:spPr>
                      <wps:txbx>
                        <w:txbxContent>
                          <w:p w14:paraId="25C06971" w14:textId="37748315" w:rsidR="004936A4" w:rsidRDefault="00886E7A" w:rsidP="00E3220E">
                            <w:pPr>
                              <w:spacing w:line="275" w:lineRule="auto"/>
                              <w:jc w:val="center"/>
                              <w:textDirection w:val="btLr"/>
                            </w:pPr>
                            <w:bookmarkStart w:id="0" w:name="_Hlk173923783"/>
                            <w:r w:rsidRPr="00E3220E">
                              <w:rPr>
                                <w:rFonts w:ascii="Trebuchet MS" w:eastAsia="Trebuchet MS" w:hAnsi="Trebuchet MS" w:cs="Trebuchet MS"/>
                                <w:b/>
                                <w:color w:val="000000"/>
                                <w:sz w:val="40"/>
                              </w:rPr>
                              <w:t>Rapport synthèse de l’évaluation du niveau de réalisation des objectifs et des lacunes de la 1ère CDN du</w:t>
                            </w:r>
                            <w:r>
                              <w:rPr>
                                <w:rFonts w:ascii="Trebuchet MS" w:eastAsia="Trebuchet MS" w:hAnsi="Trebuchet MS" w:cs="Trebuchet MS"/>
                                <w:b/>
                                <w:color w:val="000000"/>
                                <w:sz w:val="40"/>
                              </w:rPr>
                              <w:t xml:space="preserve"> </w:t>
                            </w:r>
                            <w:r>
                              <w:rPr>
                                <w:rFonts w:ascii="Trebuchet MS" w:eastAsia="Trebuchet MS" w:hAnsi="Trebuchet MS" w:cs="Trebuchet MS"/>
                                <w:b/>
                                <w:color w:val="000000"/>
                                <w:sz w:val="40"/>
                              </w:rPr>
                              <w:t>B</w:t>
                            </w:r>
                            <w:r>
                              <w:rPr>
                                <w:rFonts w:ascii="Trebuchet MS" w:eastAsia="Trebuchet MS" w:hAnsi="Trebuchet MS" w:cs="Trebuchet MS"/>
                                <w:b/>
                                <w:color w:val="000000"/>
                                <w:sz w:val="40"/>
                              </w:rPr>
                              <w:t>urkina Faso</w:t>
                            </w:r>
                          </w:p>
                          <w:bookmarkEnd w:id="0"/>
                          <w:p w14:paraId="6199DF80" w14:textId="77777777" w:rsidR="004936A4" w:rsidRDefault="004936A4" w:rsidP="00E3220E">
                            <w:pPr>
                              <w:spacing w:line="275"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7B52F450" id="Rectangle 450396768" o:spid="_x0000_s1026" style="position:absolute;left:0;text-align:left;margin-left:0;margin-top:18.45pt;width:455.4pt;height:113.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" fillcolor="white [3201]" strokecolor="#54a021 [3205]" strokeweight="1.5pt">
                <v:stroke startarrowwidth="narrow" startarrowlength="short" endarrowwidth="narrow" endarrowlength="short" joinstyle="round" endcap="round"/>
                <v:textbox inset="2.53958mm,1.2694mm,2.53958mm,1.2694mm">
                  <w:txbxContent>
                    <w:p w14:paraId="25C06971" w14:textId="37748315" w:rsidR="004936A4" w:rsidRDefault="00886E7A" w:rsidP="00E3220E">
                      <w:pPr>
                        <w:spacing w:line="275" w:lineRule="auto"/>
                        <w:jc w:val="center"/>
                        <w:textDirection w:val="btLr"/>
                      </w:pPr>
                      <w:bookmarkStart w:id="1" w:name="_Hlk173923783"/>
                      <w:r w:rsidRPr="00E3220E">
                        <w:rPr>
                          <w:rFonts w:ascii="Trebuchet MS" w:eastAsia="Trebuchet MS" w:hAnsi="Trebuchet MS" w:cs="Trebuchet MS"/>
                          <w:b/>
                          <w:color w:val="000000"/>
                          <w:sz w:val="40"/>
                        </w:rPr>
                        <w:t>Rapport synthèse de l’évaluation du niveau de réalisation des objectifs et des lacunes de la 1ère CDN du</w:t>
                      </w:r>
                      <w:r>
                        <w:rPr>
                          <w:rFonts w:ascii="Trebuchet MS" w:eastAsia="Trebuchet MS" w:hAnsi="Trebuchet MS" w:cs="Trebuchet MS"/>
                          <w:b/>
                          <w:color w:val="000000"/>
                          <w:sz w:val="40"/>
                        </w:rPr>
                        <w:t xml:space="preserve"> </w:t>
                      </w:r>
                      <w:r>
                        <w:rPr>
                          <w:rFonts w:ascii="Trebuchet MS" w:eastAsia="Trebuchet MS" w:hAnsi="Trebuchet MS" w:cs="Trebuchet MS"/>
                          <w:b/>
                          <w:color w:val="000000"/>
                          <w:sz w:val="40"/>
                        </w:rPr>
                        <w:t>B</w:t>
                      </w:r>
                      <w:r>
                        <w:rPr>
                          <w:rFonts w:ascii="Trebuchet MS" w:eastAsia="Trebuchet MS" w:hAnsi="Trebuchet MS" w:cs="Trebuchet MS"/>
                          <w:b/>
                          <w:color w:val="000000"/>
                          <w:sz w:val="40"/>
                        </w:rPr>
                        <w:t>urkina Faso</w:t>
                      </w:r>
                    </w:p>
                    <w:bookmarkEnd w:id="1"/>
                    <w:p w14:paraId="6199DF80" w14:textId="77777777" w:rsidR="004936A4" w:rsidRDefault="004936A4" w:rsidP="00E3220E">
                      <w:pPr>
                        <w:spacing w:line="275" w:lineRule="auto"/>
                        <w:jc w:val="center"/>
                        <w:textDirection w:val="btLr"/>
                      </w:pPr>
                    </w:p>
                  </w:txbxContent>
                </v:textbox>
                <w10:wrap anchorx="margin"/>
              </v:rect>
            </w:pict>
          </mc:Fallback>
        </mc:AlternateContent>
      </w:r>
    </w:p>
    <w:p w14:paraId="50A4D2EE" w14:textId="77777777" w:rsidR="004936A4" w:rsidRDefault="004936A4">
      <w:pPr>
        <w:jc w:val="both"/>
        <w:rPr>
          <w:rFonts w:ascii="Calibri" w:eastAsia="Calibri" w:hAnsi="Calibri" w:cs="Calibri"/>
          <w:b/>
          <w:sz w:val="24"/>
          <w:szCs w:val="24"/>
        </w:rPr>
      </w:pPr>
    </w:p>
    <w:p w14:paraId="5E3CE705" w14:textId="309D1A4A" w:rsidR="004936A4" w:rsidRDefault="004936A4">
      <w:pPr>
        <w:jc w:val="both"/>
        <w:rPr>
          <w:rFonts w:ascii="Calibri" w:eastAsia="Calibri" w:hAnsi="Calibri" w:cs="Calibri"/>
          <w:b/>
          <w:sz w:val="24"/>
          <w:szCs w:val="24"/>
        </w:rPr>
      </w:pPr>
    </w:p>
    <w:p w14:paraId="61779058" w14:textId="77777777" w:rsidR="004936A4" w:rsidRDefault="004936A4">
      <w:pPr>
        <w:jc w:val="both"/>
        <w:rPr>
          <w:rFonts w:ascii="Calibri" w:eastAsia="Calibri" w:hAnsi="Calibri" w:cs="Calibri"/>
          <w:b/>
          <w:sz w:val="40"/>
          <w:szCs w:val="40"/>
        </w:rPr>
      </w:pPr>
    </w:p>
    <w:p w14:paraId="42E95E87" w14:textId="77777777" w:rsidR="004936A4" w:rsidRDefault="004936A4">
      <w:pPr>
        <w:jc w:val="both"/>
        <w:rPr>
          <w:rFonts w:ascii="Calibri" w:eastAsia="Calibri" w:hAnsi="Calibri" w:cs="Calibri"/>
          <w:b/>
          <w:sz w:val="40"/>
          <w:szCs w:val="40"/>
        </w:rPr>
      </w:pPr>
    </w:p>
    <w:p w14:paraId="0DDC43BA" w14:textId="77777777" w:rsidR="004936A4" w:rsidRDefault="004936A4">
      <w:pPr>
        <w:jc w:val="both"/>
        <w:rPr>
          <w:rFonts w:ascii="Calibri" w:eastAsia="Calibri" w:hAnsi="Calibri" w:cs="Calibri"/>
          <w:b/>
          <w:sz w:val="40"/>
          <w:szCs w:val="40"/>
        </w:rPr>
      </w:pPr>
    </w:p>
    <w:p w14:paraId="561EF283" w14:textId="77777777" w:rsidR="004936A4" w:rsidRDefault="004936A4">
      <w:pPr>
        <w:jc w:val="center"/>
        <w:rPr>
          <w:rFonts w:ascii="Calibri" w:eastAsia="Calibri" w:hAnsi="Calibri" w:cs="Calibri"/>
          <w:b/>
          <w:sz w:val="40"/>
          <w:szCs w:val="40"/>
        </w:rPr>
      </w:pPr>
    </w:p>
    <w:p w14:paraId="7C4A716A" w14:textId="59EAA516" w:rsidR="004936A4" w:rsidRDefault="0002754C">
      <w:pPr>
        <w:jc w:val="center"/>
        <w:rPr>
          <w:rFonts w:ascii="Calibri" w:eastAsia="Calibri" w:hAnsi="Calibri" w:cs="Calibri"/>
          <w:b/>
          <w:sz w:val="32"/>
          <w:szCs w:val="32"/>
        </w:rPr>
      </w:pPr>
      <w:r>
        <w:rPr>
          <w:rFonts w:ascii="Calibri" w:eastAsia="Calibri" w:hAnsi="Calibri" w:cs="Calibri"/>
          <w:b/>
          <w:sz w:val="32"/>
          <w:szCs w:val="32"/>
        </w:rPr>
        <w:t xml:space="preserve">Rapport </w:t>
      </w:r>
      <w:r w:rsidR="0085190B">
        <w:rPr>
          <w:rFonts w:ascii="Calibri" w:eastAsia="Calibri" w:hAnsi="Calibri" w:cs="Calibri"/>
          <w:b/>
          <w:sz w:val="32"/>
          <w:szCs w:val="32"/>
        </w:rPr>
        <w:t>provisoire</w:t>
      </w:r>
    </w:p>
    <w:p w14:paraId="4EEDE9F1" w14:textId="19CC2286" w:rsidR="004936A4" w:rsidRDefault="004936A4">
      <w:pPr>
        <w:jc w:val="center"/>
        <w:rPr>
          <w:rFonts w:ascii="Calibri" w:eastAsia="Calibri" w:hAnsi="Calibri" w:cs="Calibri"/>
          <w:b/>
          <w:sz w:val="26"/>
          <w:szCs w:val="26"/>
        </w:rPr>
      </w:pPr>
    </w:p>
    <w:p w14:paraId="183494E6" w14:textId="77777777" w:rsidR="004936A4" w:rsidRDefault="004936A4">
      <w:pPr>
        <w:jc w:val="center"/>
        <w:rPr>
          <w:rFonts w:ascii="Calibri" w:eastAsia="Calibri" w:hAnsi="Calibri" w:cs="Calibri"/>
          <w:b/>
          <w:sz w:val="24"/>
          <w:szCs w:val="24"/>
        </w:rPr>
      </w:pPr>
    </w:p>
    <w:p w14:paraId="344106EF" w14:textId="77777777" w:rsidR="004936A4" w:rsidRDefault="004936A4">
      <w:pPr>
        <w:jc w:val="both"/>
        <w:rPr>
          <w:rFonts w:ascii="Calibri" w:eastAsia="Calibri" w:hAnsi="Calibri" w:cs="Calibri"/>
          <w:b/>
          <w:sz w:val="24"/>
          <w:szCs w:val="24"/>
        </w:rPr>
      </w:pPr>
    </w:p>
    <w:p w14:paraId="3DB3CE53" w14:textId="77777777" w:rsidR="004936A4" w:rsidRDefault="004936A4">
      <w:pPr>
        <w:jc w:val="both"/>
        <w:rPr>
          <w:rFonts w:ascii="Calibri" w:eastAsia="Calibri" w:hAnsi="Calibri" w:cs="Calibri"/>
          <w:b/>
          <w:sz w:val="24"/>
          <w:szCs w:val="24"/>
        </w:rPr>
      </w:pPr>
    </w:p>
    <w:p w14:paraId="35FF1547" w14:textId="77777777" w:rsidR="004936A4" w:rsidRDefault="004936A4">
      <w:pPr>
        <w:jc w:val="both"/>
        <w:rPr>
          <w:rFonts w:ascii="Calibri" w:eastAsia="Calibri" w:hAnsi="Calibri" w:cs="Calibri"/>
          <w:b/>
          <w:sz w:val="24"/>
          <w:szCs w:val="24"/>
        </w:rPr>
      </w:pPr>
    </w:p>
    <w:p w14:paraId="15E01771" w14:textId="77777777" w:rsidR="004936A4" w:rsidRDefault="004936A4">
      <w:pPr>
        <w:jc w:val="both"/>
        <w:rPr>
          <w:rFonts w:ascii="Calibri" w:eastAsia="Calibri" w:hAnsi="Calibri" w:cs="Calibri"/>
          <w:b/>
          <w:sz w:val="24"/>
          <w:szCs w:val="24"/>
        </w:rPr>
      </w:pPr>
    </w:p>
    <w:p w14:paraId="50F00AF0" w14:textId="77777777" w:rsidR="004936A4" w:rsidRDefault="004936A4">
      <w:pPr>
        <w:jc w:val="both"/>
        <w:rPr>
          <w:rFonts w:ascii="Calibri" w:eastAsia="Calibri" w:hAnsi="Calibri" w:cs="Calibri"/>
          <w:b/>
          <w:sz w:val="24"/>
          <w:szCs w:val="24"/>
        </w:rPr>
      </w:pPr>
    </w:p>
    <w:p w14:paraId="23E07E91" w14:textId="77777777" w:rsidR="004936A4" w:rsidRDefault="004936A4">
      <w:pPr>
        <w:jc w:val="both"/>
        <w:rPr>
          <w:rFonts w:ascii="Calibri" w:eastAsia="Calibri" w:hAnsi="Calibri" w:cs="Calibri"/>
          <w:b/>
          <w:sz w:val="24"/>
          <w:szCs w:val="24"/>
        </w:rPr>
      </w:pPr>
    </w:p>
    <w:p w14:paraId="7664514C" w14:textId="77777777" w:rsidR="004936A4" w:rsidRDefault="004936A4">
      <w:pPr>
        <w:jc w:val="both"/>
        <w:rPr>
          <w:rFonts w:ascii="Calibri" w:eastAsia="Calibri" w:hAnsi="Calibri" w:cs="Calibri"/>
          <w:b/>
          <w:sz w:val="24"/>
          <w:szCs w:val="24"/>
        </w:rPr>
      </w:pPr>
    </w:p>
    <w:p w14:paraId="018FBB89" w14:textId="11B7A6D1" w:rsidR="00D50E46" w:rsidRDefault="00D50E46">
      <w:pPr>
        <w:rPr>
          <w:rFonts w:ascii="Calibri" w:eastAsia="Calibri" w:hAnsi="Calibri" w:cs="Calibri"/>
          <w:b/>
          <w:sz w:val="24"/>
          <w:szCs w:val="24"/>
        </w:rPr>
      </w:pPr>
      <w:r>
        <w:rPr>
          <w:rFonts w:ascii="Calibri" w:eastAsia="Calibri" w:hAnsi="Calibri" w:cs="Calibri"/>
          <w:b/>
          <w:sz w:val="24"/>
          <w:szCs w:val="24"/>
        </w:rPr>
        <w:br w:type="page"/>
      </w:r>
    </w:p>
    <w:p w14:paraId="41FE771C" w14:textId="190770C8" w:rsidR="004936A4" w:rsidRPr="00312020" w:rsidRDefault="00312020" w:rsidP="00312020">
      <w:pPr>
        <w:pStyle w:val="Heading1"/>
        <w:rPr>
          <w:rFonts w:eastAsia="Calibri"/>
          <w:b/>
          <w:bCs/>
          <w:color w:val="54A021" w:themeColor="accent2"/>
        </w:rPr>
      </w:pPr>
      <w:r>
        <w:rPr>
          <w:rFonts w:eastAsia="Calibri"/>
          <w:b/>
          <w:bCs/>
          <w:color w:val="54A021" w:themeColor="accent2"/>
        </w:rPr>
        <w:lastRenderedPageBreak/>
        <w:t xml:space="preserve">I. </w:t>
      </w:r>
      <w:r w:rsidRPr="00D50E46">
        <w:rPr>
          <w:rFonts w:eastAsia="Calibri"/>
          <w:b/>
          <w:bCs/>
          <w:color w:val="54A021" w:themeColor="accent2"/>
        </w:rPr>
        <w:t>CONTEXTE, OBJECTIFS ET MÉTHODOLOGIE DE L’EVALUATION</w:t>
      </w:r>
    </w:p>
    <w:p w14:paraId="7BCEDE28" w14:textId="77777777" w:rsidR="006F3280" w:rsidRDefault="006F3280">
      <w:pPr>
        <w:spacing w:after="0" w:line="240" w:lineRule="auto"/>
        <w:jc w:val="both"/>
        <w:rPr>
          <w:rFonts w:ascii="Calibri" w:eastAsia="Calibri" w:hAnsi="Calibri" w:cs="Calibri"/>
          <w:b/>
          <w:i/>
          <w:color w:val="90C226" w:themeColor="accent1"/>
          <w:sz w:val="24"/>
          <w:szCs w:val="24"/>
        </w:rPr>
      </w:pPr>
    </w:p>
    <w:p w14:paraId="5A2C4B77" w14:textId="0A33AF0B" w:rsidR="004936A4" w:rsidRPr="00D50E46" w:rsidRDefault="0002754C">
      <w:pPr>
        <w:spacing w:after="0" w:line="240" w:lineRule="auto"/>
        <w:jc w:val="both"/>
        <w:rPr>
          <w:rFonts w:ascii="Calibri" w:eastAsia="Calibri" w:hAnsi="Calibri" w:cs="Calibri"/>
          <w:b/>
          <w:i/>
          <w:color w:val="90C226" w:themeColor="accent1"/>
          <w:sz w:val="24"/>
          <w:szCs w:val="24"/>
        </w:rPr>
      </w:pPr>
      <w:r w:rsidRPr="00D50E46">
        <w:rPr>
          <w:rFonts w:ascii="Calibri" w:eastAsia="Calibri" w:hAnsi="Calibri" w:cs="Calibri"/>
          <w:b/>
          <w:i/>
          <w:color w:val="90C226" w:themeColor="accent1"/>
          <w:sz w:val="24"/>
          <w:szCs w:val="24"/>
        </w:rPr>
        <w:t xml:space="preserve">Le Burkina Faso évalue ses progrès pour la réalisation de ses engagements </w:t>
      </w:r>
      <w:r w:rsidR="00D50E46" w:rsidRPr="00D50E46">
        <w:rPr>
          <w:rFonts w:ascii="Calibri" w:eastAsia="Calibri" w:hAnsi="Calibri" w:cs="Calibri"/>
          <w:b/>
          <w:i/>
          <w:color w:val="90C226" w:themeColor="accent1"/>
          <w:sz w:val="24"/>
          <w:szCs w:val="24"/>
        </w:rPr>
        <w:t>climatiques :</w:t>
      </w:r>
    </w:p>
    <w:p w14:paraId="70580119" w14:textId="1F4DD777" w:rsidR="004936A4" w:rsidRDefault="0002754C">
      <w:pPr>
        <w:spacing w:after="0" w:line="240" w:lineRule="auto"/>
        <w:jc w:val="both"/>
        <w:rPr>
          <w:rFonts w:ascii="Calibri" w:eastAsia="Calibri" w:hAnsi="Calibri" w:cs="Calibri"/>
          <w:sz w:val="24"/>
          <w:szCs w:val="24"/>
        </w:rPr>
      </w:pPr>
      <w:r>
        <w:rPr>
          <w:rFonts w:ascii="Calibri" w:eastAsia="Calibri" w:hAnsi="Calibri" w:cs="Calibri"/>
          <w:sz w:val="24"/>
          <w:szCs w:val="24"/>
        </w:rPr>
        <w:t>Conformément aux accords de la 21</w:t>
      </w:r>
      <w:r>
        <w:rPr>
          <w:rFonts w:ascii="Calibri" w:eastAsia="Calibri" w:hAnsi="Calibri" w:cs="Calibri"/>
          <w:sz w:val="24"/>
          <w:szCs w:val="24"/>
          <w:vertAlign w:val="superscript"/>
        </w:rPr>
        <w:t>e</w:t>
      </w:r>
      <w:r>
        <w:rPr>
          <w:rFonts w:ascii="Calibri" w:eastAsia="Calibri" w:hAnsi="Calibri" w:cs="Calibri"/>
          <w:sz w:val="24"/>
          <w:szCs w:val="24"/>
        </w:rPr>
        <w:t xml:space="preserve"> Conférence des Parties (COP21) tenue à Paris en 2015 visant à contribuer à maintenir le réchauffement climatique dû à l’action humaine en dessous de 2°C d’ici à 2100, le Burkina</w:t>
      </w:r>
      <w:r w:rsidR="003C0E11">
        <w:rPr>
          <w:rFonts w:ascii="Calibri" w:eastAsia="Calibri" w:hAnsi="Calibri" w:cs="Calibri"/>
          <w:sz w:val="24"/>
          <w:szCs w:val="24"/>
        </w:rPr>
        <w:t xml:space="preserve"> Faso</w:t>
      </w:r>
      <w:r>
        <w:rPr>
          <w:rFonts w:ascii="Calibri" w:eastAsia="Calibri" w:hAnsi="Calibri" w:cs="Calibri"/>
          <w:sz w:val="24"/>
          <w:szCs w:val="24"/>
        </w:rPr>
        <w:t xml:space="preserve"> a élaboré son engagement dénommé « </w:t>
      </w:r>
      <w:r>
        <w:rPr>
          <w:rFonts w:ascii="Calibri" w:eastAsia="Calibri" w:hAnsi="Calibri" w:cs="Calibri"/>
          <w:b/>
          <w:sz w:val="24"/>
          <w:szCs w:val="24"/>
        </w:rPr>
        <w:t>Contribution Déterminée au niveau National</w:t>
      </w:r>
      <w:r>
        <w:rPr>
          <w:rFonts w:ascii="Calibri" w:eastAsia="Calibri" w:hAnsi="Calibri" w:cs="Calibri"/>
          <w:sz w:val="24"/>
          <w:szCs w:val="24"/>
        </w:rPr>
        <w:t> », (</w:t>
      </w:r>
      <w:r>
        <w:rPr>
          <w:rFonts w:ascii="Calibri" w:eastAsia="Calibri" w:hAnsi="Calibri" w:cs="Calibri"/>
          <w:b/>
          <w:sz w:val="24"/>
          <w:szCs w:val="24"/>
        </w:rPr>
        <w:t>CDN</w:t>
      </w:r>
      <w:r>
        <w:rPr>
          <w:rFonts w:ascii="Calibri" w:eastAsia="Calibri" w:hAnsi="Calibri" w:cs="Calibri"/>
          <w:sz w:val="24"/>
          <w:szCs w:val="24"/>
        </w:rPr>
        <w:t>). La CDN comprend trois scénari</w:t>
      </w:r>
      <w:r w:rsidR="00886E7A">
        <w:rPr>
          <w:rFonts w:ascii="Calibri" w:eastAsia="Calibri" w:hAnsi="Calibri" w:cs="Calibri"/>
          <w:sz w:val="24"/>
          <w:szCs w:val="24"/>
        </w:rPr>
        <w:t>i</w:t>
      </w:r>
      <w:r w:rsidR="00E3220E">
        <w:rPr>
          <w:rFonts w:ascii="Calibri" w:eastAsia="Calibri" w:hAnsi="Calibri" w:cs="Calibri"/>
          <w:sz w:val="24"/>
          <w:szCs w:val="24"/>
        </w:rPr>
        <w:t xml:space="preserve"> </w:t>
      </w:r>
      <w:r>
        <w:rPr>
          <w:rFonts w:ascii="Calibri" w:eastAsia="Calibri" w:hAnsi="Calibri" w:cs="Calibri"/>
          <w:sz w:val="24"/>
          <w:szCs w:val="24"/>
        </w:rPr>
        <w:t>dépendant de la situation de référence et du potentiel de financement pour évaluer l’évolution des émissions</w:t>
      </w:r>
      <w:r w:rsidR="00944A87">
        <w:rPr>
          <w:rFonts w:ascii="Calibri" w:eastAsia="Calibri" w:hAnsi="Calibri" w:cs="Calibri"/>
          <w:sz w:val="24"/>
          <w:szCs w:val="24"/>
        </w:rPr>
        <w:t xml:space="preserve"> </w:t>
      </w:r>
      <w:r>
        <w:rPr>
          <w:rFonts w:ascii="Calibri" w:eastAsia="Calibri" w:hAnsi="Calibri" w:cs="Calibri"/>
          <w:sz w:val="24"/>
          <w:szCs w:val="24"/>
        </w:rPr>
        <w:t xml:space="preserve">et les réductions possibles : </w:t>
      </w:r>
    </w:p>
    <w:p w14:paraId="7B2F195C" w14:textId="77777777" w:rsidR="004936A4" w:rsidRDefault="0002754C" w:rsidP="00D50E46">
      <w:pPr>
        <w:numPr>
          <w:ilvl w:val="0"/>
          <w:numId w:val="22"/>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un scénario  «  tendanciel  »  (Business  as  Usual  - BAU) dans  l’hypothèse  que  le  développement  économique continue sans rupture ;</w:t>
      </w:r>
    </w:p>
    <w:p w14:paraId="58ECD33C" w14:textId="43E2ABAB" w:rsidR="004936A4" w:rsidRDefault="0002754C" w:rsidP="00D50E46">
      <w:pPr>
        <w:numPr>
          <w:ilvl w:val="0"/>
          <w:numId w:val="22"/>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un scénario « inconditionnel » prenant en compte toutes les politiques publiques y engagées après 2007, les évolutions technologiques, et les études récentes ayant un financement acquis ou en cours d’acquisition</w:t>
      </w:r>
      <w:r w:rsidR="005204D2">
        <w:rPr>
          <w:rFonts w:ascii="Calibri" w:eastAsia="Calibri" w:hAnsi="Calibri" w:cs="Calibri"/>
          <w:color w:val="000000"/>
          <w:sz w:val="24"/>
          <w:szCs w:val="24"/>
        </w:rPr>
        <w:t>. Ceci comprend celles en lien avec l’égalité homme/femme</w:t>
      </w:r>
      <w:r w:rsidR="002F486A">
        <w:rPr>
          <w:rFonts w:ascii="Calibri" w:eastAsia="Calibri" w:hAnsi="Calibri" w:cs="Calibri"/>
          <w:color w:val="000000"/>
          <w:sz w:val="24"/>
          <w:szCs w:val="24"/>
        </w:rPr>
        <w:t> ;</w:t>
      </w:r>
    </w:p>
    <w:p w14:paraId="3366C879" w14:textId="2D26A386" w:rsidR="006734A5" w:rsidRDefault="0002754C" w:rsidP="006734A5">
      <w:pPr>
        <w:numPr>
          <w:ilvl w:val="0"/>
          <w:numId w:val="22"/>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un scénario conditionnel incluant tous les projets d’atténuations élaborés et/ou en cours d’élaboration, mais n’ayant pas de financement acquis.</w:t>
      </w:r>
    </w:p>
    <w:p w14:paraId="70998B2A" w14:textId="6EFD85FF" w:rsidR="006734A5" w:rsidRPr="006734A5" w:rsidRDefault="006734A5" w:rsidP="006734A5">
      <w:pPr>
        <w:pBdr>
          <w:top w:val="nil"/>
          <w:left w:val="nil"/>
          <w:bottom w:val="nil"/>
          <w:right w:val="nil"/>
          <w:between w:val="nil"/>
        </w:pBdr>
        <w:spacing w:line="240" w:lineRule="auto"/>
        <w:jc w:val="both"/>
        <w:rPr>
          <w:rFonts w:ascii="Calibri" w:eastAsia="Calibri" w:hAnsi="Calibri" w:cs="Calibri"/>
          <w:b/>
          <w:bCs/>
          <w:color w:val="000000"/>
          <w:sz w:val="24"/>
          <w:szCs w:val="24"/>
        </w:rPr>
      </w:pPr>
      <w:r>
        <w:rPr>
          <w:rFonts w:ascii="Calibri" w:eastAsia="Calibri" w:hAnsi="Calibri" w:cs="Calibri"/>
          <w:b/>
          <w:bCs/>
          <w:color w:val="000000"/>
          <w:sz w:val="24"/>
          <w:szCs w:val="24"/>
        </w:rPr>
        <w:t>Prévision</w:t>
      </w:r>
      <w:r w:rsidR="008B4613">
        <w:rPr>
          <w:rFonts w:ascii="Calibri" w:eastAsia="Calibri" w:hAnsi="Calibri" w:cs="Calibri"/>
          <w:b/>
          <w:bCs/>
          <w:color w:val="000000"/>
          <w:sz w:val="24"/>
          <w:szCs w:val="24"/>
        </w:rPr>
        <w:t>s</w:t>
      </w:r>
      <w:r>
        <w:rPr>
          <w:rFonts w:ascii="Calibri" w:eastAsia="Calibri" w:hAnsi="Calibri" w:cs="Calibri"/>
          <w:b/>
          <w:bCs/>
          <w:color w:val="000000"/>
          <w:sz w:val="24"/>
          <w:szCs w:val="24"/>
        </w:rPr>
        <w:t xml:space="preserve"> de réduction selon les scénarii</w:t>
      </w:r>
    </w:p>
    <w:p w14:paraId="05EAD63B" w14:textId="10AAC5FB" w:rsidR="0064461D" w:rsidRDefault="00483B6B">
      <w:pPr>
        <w:spacing w:line="240" w:lineRule="auto"/>
        <w:jc w:val="both"/>
        <w:rPr>
          <w:rFonts w:ascii="Calibri" w:eastAsia="Calibri" w:hAnsi="Calibri" w:cs="Calibri"/>
          <w:sz w:val="24"/>
          <w:szCs w:val="24"/>
        </w:rPr>
      </w:pPr>
      <w:r>
        <w:rPr>
          <w:rFonts w:ascii="Calibri" w:eastAsia="Calibri" w:hAnsi="Calibri" w:cs="Calibri"/>
          <w:noProof/>
          <w:sz w:val="24"/>
          <w:szCs w:val="24"/>
        </w:rPr>
        <w:drawing>
          <wp:inline distT="0" distB="0" distL="0" distR="0" wp14:anchorId="0279E4E3" wp14:editId="3F71CE1D">
            <wp:extent cx="6229350" cy="762000"/>
            <wp:effectExtent l="0" t="38100" r="0" b="38100"/>
            <wp:docPr id="33159297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68BCF5A" w14:textId="09DE3E39" w:rsidR="006D0DE7" w:rsidRPr="00E3220E" w:rsidRDefault="0002754C" w:rsidP="006D0DE7">
      <w:pPr>
        <w:spacing w:line="288" w:lineRule="auto"/>
        <w:jc w:val="both"/>
        <w:rPr>
          <w:rFonts w:ascii="Calibri" w:eastAsia="Calibri" w:hAnsi="Calibri" w:cs="Calibri"/>
          <w:sz w:val="24"/>
          <w:szCs w:val="24"/>
        </w:rPr>
      </w:pPr>
      <w:r>
        <w:rPr>
          <w:rFonts w:ascii="Calibri" w:eastAsia="Calibri" w:hAnsi="Calibri" w:cs="Calibri"/>
          <w:sz w:val="24"/>
          <w:szCs w:val="24"/>
        </w:rPr>
        <w:t xml:space="preserve">Après cinq </w:t>
      </w:r>
      <w:r w:rsidR="005204D2">
        <w:rPr>
          <w:rFonts w:ascii="Calibri" w:eastAsia="Calibri" w:hAnsi="Calibri" w:cs="Calibri"/>
          <w:sz w:val="24"/>
          <w:szCs w:val="24"/>
        </w:rPr>
        <w:t xml:space="preserve">(5) </w:t>
      </w:r>
      <w:r>
        <w:rPr>
          <w:rFonts w:ascii="Calibri" w:eastAsia="Calibri" w:hAnsi="Calibri" w:cs="Calibri"/>
          <w:sz w:val="24"/>
          <w:szCs w:val="24"/>
        </w:rPr>
        <w:t xml:space="preserve">ans d’exécution (2016-2020) de sa CDN, le Burkina Faso doit mesurer les progrès et impacts des actions menées et l’actualiser. Avec l’appui de </w:t>
      </w:r>
      <w:r w:rsidRPr="0045179B">
        <w:rPr>
          <w:rFonts w:ascii="Calibri" w:eastAsia="Calibri" w:hAnsi="Calibri" w:cs="Calibri"/>
          <w:sz w:val="24"/>
          <w:szCs w:val="24"/>
        </w:rPr>
        <w:t>la SNV et</w:t>
      </w:r>
      <w:r>
        <w:rPr>
          <w:rFonts w:ascii="Calibri" w:eastAsia="Calibri" w:hAnsi="Calibri" w:cs="Calibri"/>
          <w:sz w:val="24"/>
          <w:szCs w:val="24"/>
        </w:rPr>
        <w:t xml:space="preserve"> du </w:t>
      </w:r>
      <w:r w:rsidRPr="00241566">
        <w:rPr>
          <w:rFonts w:ascii="Calibri" w:eastAsia="Calibri" w:hAnsi="Calibri" w:cs="Calibri"/>
          <w:sz w:val="24"/>
          <w:szCs w:val="24"/>
        </w:rPr>
        <w:t>NDC Partnership,</w:t>
      </w:r>
      <w:r>
        <w:rPr>
          <w:rFonts w:ascii="Calibri" w:eastAsia="Calibri" w:hAnsi="Calibri" w:cs="Calibri"/>
          <w:sz w:val="24"/>
          <w:szCs w:val="24"/>
        </w:rPr>
        <w:t xml:space="preserve"> </w:t>
      </w:r>
      <w:r w:rsidR="006D0DE7">
        <w:rPr>
          <w:rFonts w:ascii="Calibri" w:eastAsia="Calibri" w:hAnsi="Calibri" w:cs="Calibri"/>
          <w:sz w:val="24"/>
          <w:szCs w:val="24"/>
        </w:rPr>
        <w:t xml:space="preserve">cette étude a été évaluée par le </w:t>
      </w:r>
      <w:r w:rsidR="006D0DE7" w:rsidRPr="00E3220E">
        <w:rPr>
          <w:rFonts w:ascii="Calibri" w:eastAsia="Calibri" w:hAnsi="Calibri" w:cs="Calibri"/>
          <w:sz w:val="24"/>
          <w:szCs w:val="24"/>
        </w:rPr>
        <w:t>Centre d’Etude, de Formation et de Conseil en Développement (CEFCOD)</w:t>
      </w:r>
    </w:p>
    <w:p w14:paraId="17915FCC" w14:textId="5828499A" w:rsidR="004936A4" w:rsidRDefault="004936A4" w:rsidP="0093657C">
      <w:pPr>
        <w:spacing w:after="0" w:line="240" w:lineRule="auto"/>
        <w:jc w:val="both"/>
        <w:rPr>
          <w:rFonts w:ascii="Calibri" w:eastAsia="Calibri" w:hAnsi="Calibri" w:cs="Calibri"/>
          <w:sz w:val="24"/>
          <w:szCs w:val="24"/>
        </w:rPr>
      </w:pPr>
    </w:p>
    <w:p w14:paraId="3F14DF70" w14:textId="77777777" w:rsidR="004936A4" w:rsidRDefault="004936A4">
      <w:pPr>
        <w:spacing w:after="0" w:line="240" w:lineRule="auto"/>
        <w:jc w:val="both"/>
        <w:rPr>
          <w:rFonts w:ascii="Calibri" w:eastAsia="Calibri" w:hAnsi="Calibri" w:cs="Calibri"/>
          <w:b/>
          <w:sz w:val="24"/>
          <w:szCs w:val="24"/>
        </w:rPr>
      </w:pPr>
    </w:p>
    <w:p w14:paraId="1ECCACB9" w14:textId="77AF9EEC" w:rsidR="004936A4" w:rsidRPr="00D50E46" w:rsidRDefault="0002754C">
      <w:pPr>
        <w:spacing w:after="0" w:line="240" w:lineRule="auto"/>
        <w:jc w:val="both"/>
        <w:rPr>
          <w:rFonts w:ascii="Calibri" w:eastAsia="Calibri" w:hAnsi="Calibri" w:cs="Calibri"/>
          <w:b/>
          <w:i/>
          <w:color w:val="90C226" w:themeColor="accent1"/>
          <w:sz w:val="24"/>
          <w:szCs w:val="24"/>
        </w:rPr>
      </w:pPr>
      <w:r w:rsidRPr="00D50E46">
        <w:rPr>
          <w:rFonts w:ascii="Calibri" w:eastAsia="Calibri" w:hAnsi="Calibri" w:cs="Calibri"/>
          <w:b/>
          <w:i/>
          <w:color w:val="90C226" w:themeColor="accent1"/>
          <w:sz w:val="24"/>
          <w:szCs w:val="24"/>
        </w:rPr>
        <w:t>Deux objectifs guident l’évaluation d</w:t>
      </w:r>
      <w:r w:rsidR="00D50E46">
        <w:rPr>
          <w:rFonts w:ascii="Calibri" w:eastAsia="Calibri" w:hAnsi="Calibri" w:cs="Calibri"/>
          <w:b/>
          <w:i/>
          <w:color w:val="90C226" w:themeColor="accent1"/>
          <w:sz w:val="24"/>
          <w:szCs w:val="24"/>
        </w:rPr>
        <w:t>u</w:t>
      </w:r>
      <w:r w:rsidRPr="00D50E46">
        <w:rPr>
          <w:rFonts w:ascii="Calibri" w:eastAsia="Calibri" w:hAnsi="Calibri" w:cs="Calibri"/>
          <w:b/>
          <w:i/>
          <w:color w:val="90C226" w:themeColor="accent1"/>
          <w:sz w:val="24"/>
          <w:szCs w:val="24"/>
        </w:rPr>
        <w:t xml:space="preserve"> progrès des </w:t>
      </w:r>
      <w:r w:rsidR="00D50E46">
        <w:rPr>
          <w:rFonts w:ascii="Calibri" w:eastAsia="Calibri" w:hAnsi="Calibri" w:cs="Calibri"/>
          <w:b/>
          <w:i/>
          <w:color w:val="90C226" w:themeColor="accent1"/>
          <w:sz w:val="24"/>
          <w:szCs w:val="24"/>
        </w:rPr>
        <w:t>projets de la CDN</w:t>
      </w:r>
      <w:r w:rsidR="00D50E46" w:rsidRPr="00D50E46">
        <w:rPr>
          <w:rFonts w:ascii="Calibri" w:eastAsia="Calibri" w:hAnsi="Calibri" w:cs="Calibri"/>
          <w:b/>
          <w:i/>
          <w:color w:val="90C226" w:themeColor="accent1"/>
          <w:sz w:val="24"/>
          <w:szCs w:val="24"/>
        </w:rPr>
        <w:t xml:space="preserve"> :</w:t>
      </w:r>
    </w:p>
    <w:p w14:paraId="2D0AF14D" w14:textId="74454BA9" w:rsidR="004936A4" w:rsidRPr="00D50E46" w:rsidRDefault="0002754C" w:rsidP="00D50E46">
      <w:pPr>
        <w:pStyle w:val="ListParagraph"/>
        <w:numPr>
          <w:ilvl w:val="1"/>
          <w:numId w:val="24"/>
        </w:numPr>
        <w:spacing w:after="0" w:line="240" w:lineRule="auto"/>
        <w:ind w:left="284" w:hanging="284"/>
        <w:jc w:val="both"/>
        <w:rPr>
          <w:rFonts w:ascii="Calibri" w:eastAsia="Calibri" w:hAnsi="Calibri" w:cs="Calibri"/>
          <w:sz w:val="24"/>
          <w:szCs w:val="24"/>
        </w:rPr>
      </w:pPr>
      <w:r w:rsidRPr="00D50E46">
        <w:rPr>
          <w:rFonts w:ascii="Calibri" w:eastAsia="Calibri" w:hAnsi="Calibri" w:cs="Calibri"/>
          <w:sz w:val="24"/>
          <w:szCs w:val="24"/>
        </w:rPr>
        <w:t>Evaluer l’évolution des produits, effets et impacts des différentes actions menées (comparativement au référentiel de base), tout en intégrant une approche genre ;</w:t>
      </w:r>
    </w:p>
    <w:p w14:paraId="17D7E460" w14:textId="4FDB8AE6" w:rsidR="004936A4" w:rsidRPr="00D50E46" w:rsidRDefault="0002754C" w:rsidP="00D50E46">
      <w:pPr>
        <w:pStyle w:val="ListParagraph"/>
        <w:numPr>
          <w:ilvl w:val="1"/>
          <w:numId w:val="24"/>
        </w:numPr>
        <w:spacing w:after="0" w:line="240" w:lineRule="auto"/>
        <w:ind w:left="284" w:hanging="284"/>
        <w:jc w:val="both"/>
        <w:rPr>
          <w:rFonts w:ascii="Roboto" w:eastAsia="Roboto" w:hAnsi="Roboto" w:cs="Roboto"/>
          <w:color w:val="1F1F1F"/>
          <w:sz w:val="21"/>
          <w:szCs w:val="21"/>
        </w:rPr>
      </w:pPr>
      <w:r w:rsidRPr="00D50E46">
        <w:rPr>
          <w:rFonts w:ascii="Calibri" w:eastAsia="Calibri" w:hAnsi="Calibri" w:cs="Calibri"/>
          <w:sz w:val="24"/>
          <w:szCs w:val="24"/>
        </w:rPr>
        <w:t>Capitaliser sur les leçons apprises</w:t>
      </w:r>
      <w:r w:rsidR="005204D2">
        <w:rPr>
          <w:rFonts w:ascii="Calibri" w:eastAsia="Calibri" w:hAnsi="Calibri" w:cs="Calibri"/>
          <w:sz w:val="24"/>
          <w:szCs w:val="24"/>
        </w:rPr>
        <w:t xml:space="preserve"> - y compris en matière d’égalité homme/femme</w:t>
      </w:r>
      <w:r w:rsidR="00571E8B">
        <w:rPr>
          <w:rFonts w:ascii="Calibri" w:eastAsia="Calibri" w:hAnsi="Calibri" w:cs="Calibri"/>
          <w:sz w:val="24"/>
          <w:szCs w:val="24"/>
        </w:rPr>
        <w:t xml:space="preserve"> </w:t>
      </w:r>
      <w:r w:rsidR="005204D2">
        <w:rPr>
          <w:rFonts w:ascii="Calibri" w:eastAsia="Calibri" w:hAnsi="Calibri" w:cs="Calibri"/>
          <w:sz w:val="24"/>
          <w:szCs w:val="24"/>
        </w:rPr>
        <w:t>-</w:t>
      </w:r>
      <w:r w:rsidRPr="00D50E46">
        <w:rPr>
          <w:rFonts w:ascii="Calibri" w:eastAsia="Calibri" w:hAnsi="Calibri" w:cs="Calibri"/>
          <w:sz w:val="24"/>
          <w:szCs w:val="24"/>
        </w:rPr>
        <w:t xml:space="preserve"> et définir des recommandations pertinentes permettant aux experts et au comité multi-acteurs de mettre à jour les objectifs de la CDN.</w:t>
      </w:r>
    </w:p>
    <w:p w14:paraId="506102B4" w14:textId="77777777" w:rsidR="004936A4" w:rsidRDefault="004936A4">
      <w:pPr>
        <w:spacing w:line="240" w:lineRule="auto"/>
        <w:jc w:val="both"/>
        <w:rPr>
          <w:rFonts w:ascii="Roboto" w:eastAsia="Roboto" w:hAnsi="Roboto" w:cs="Roboto"/>
          <w:color w:val="1F1F1F"/>
          <w:sz w:val="21"/>
          <w:szCs w:val="21"/>
        </w:rPr>
      </w:pPr>
    </w:p>
    <w:p w14:paraId="34B18656" w14:textId="5ED09F58" w:rsidR="004936A4" w:rsidRPr="00D50E46" w:rsidRDefault="0002754C" w:rsidP="0093657C">
      <w:pPr>
        <w:spacing w:after="0" w:line="240" w:lineRule="auto"/>
        <w:jc w:val="both"/>
        <w:rPr>
          <w:rFonts w:ascii="Calibri" w:eastAsia="Calibri" w:hAnsi="Calibri" w:cs="Calibri"/>
          <w:b/>
          <w:i/>
          <w:color w:val="90C226" w:themeColor="accent1"/>
          <w:sz w:val="24"/>
          <w:szCs w:val="24"/>
        </w:rPr>
      </w:pPr>
      <w:r w:rsidRPr="00D50E46">
        <w:rPr>
          <w:rFonts w:ascii="Calibri" w:eastAsia="Calibri" w:hAnsi="Calibri" w:cs="Calibri"/>
          <w:b/>
          <w:i/>
          <w:color w:val="90C226" w:themeColor="accent1"/>
          <w:sz w:val="24"/>
          <w:szCs w:val="24"/>
        </w:rPr>
        <w:t xml:space="preserve">La méthodologie globale comprend trois phases qui sont, la phase préparatoire, la phase d’investigation et la phase d’élaboration du </w:t>
      </w:r>
      <w:r w:rsidR="00D50E46" w:rsidRPr="00D50E46">
        <w:rPr>
          <w:rFonts w:ascii="Calibri" w:eastAsia="Calibri" w:hAnsi="Calibri" w:cs="Calibri"/>
          <w:b/>
          <w:i/>
          <w:color w:val="90C226" w:themeColor="accent1"/>
          <w:sz w:val="24"/>
          <w:szCs w:val="24"/>
        </w:rPr>
        <w:t>rapport :</w:t>
      </w:r>
    </w:p>
    <w:p w14:paraId="197B6E02" w14:textId="476DAC0A" w:rsidR="004936A4" w:rsidRDefault="0002754C" w:rsidP="008B055D">
      <w:pPr>
        <w:spacing w:line="240" w:lineRule="auto"/>
        <w:jc w:val="both"/>
        <w:rPr>
          <w:rFonts w:ascii="Calibri" w:eastAsia="Calibri" w:hAnsi="Calibri" w:cs="Calibri"/>
          <w:sz w:val="24"/>
          <w:szCs w:val="24"/>
        </w:rPr>
      </w:pPr>
      <w:r>
        <w:rPr>
          <w:rFonts w:ascii="Calibri" w:eastAsia="Calibri" w:hAnsi="Calibri" w:cs="Calibri"/>
          <w:sz w:val="24"/>
          <w:szCs w:val="24"/>
        </w:rPr>
        <w:t>La phase préparatoire comprend la réunion de cadrage, la recherche bibliographique, l’élaboration des questionnaires et l’organisation de la mission terrain. Ensuite, la phase d’investigation permet de constituer une liste de 77 projets répertoriés dans la CDN de base dont 47 pour l’atténuation et 30 pour l’adaptation. Enfin, le rapport d’évaluation consolide les différents constats</w:t>
      </w:r>
      <w:r w:rsidR="00161EE4">
        <w:rPr>
          <w:rFonts w:ascii="Calibri" w:eastAsia="Calibri" w:hAnsi="Calibri" w:cs="Calibri"/>
          <w:sz w:val="24"/>
          <w:szCs w:val="24"/>
        </w:rPr>
        <w:t>.</w:t>
      </w:r>
    </w:p>
    <w:p w14:paraId="242E74C9" w14:textId="0D8E7F17" w:rsidR="004E4834" w:rsidRDefault="004E4834" w:rsidP="004E4834">
      <w:pPr>
        <w:spacing w:line="240" w:lineRule="auto"/>
        <w:jc w:val="both"/>
        <w:rPr>
          <w:rFonts w:ascii="Calibri" w:eastAsia="Calibri" w:hAnsi="Calibri" w:cs="Calibri"/>
          <w:sz w:val="24"/>
          <w:szCs w:val="24"/>
        </w:rPr>
      </w:pPr>
      <w:bookmarkStart w:id="2" w:name="_Hlk171116241"/>
      <w:r>
        <w:rPr>
          <w:rFonts w:ascii="Calibri" w:eastAsia="Calibri" w:hAnsi="Calibri" w:cs="Calibri"/>
          <w:sz w:val="24"/>
          <w:szCs w:val="24"/>
        </w:rPr>
        <w:t>L</w:t>
      </w:r>
      <w:r>
        <w:rPr>
          <w:rFonts w:ascii="Calibri" w:eastAsia="Calibri" w:hAnsi="Calibri" w:cs="Calibri"/>
          <w:i/>
          <w:sz w:val="24"/>
          <w:szCs w:val="24"/>
        </w:rPr>
        <w:t>’approche d’investigation</w:t>
      </w:r>
      <w:r>
        <w:rPr>
          <w:rFonts w:ascii="Calibri" w:eastAsia="Calibri" w:hAnsi="Calibri" w:cs="Calibri"/>
          <w:sz w:val="24"/>
          <w:szCs w:val="24"/>
        </w:rPr>
        <w:t xml:space="preserve"> pour les projets identifiés se résume i. </w:t>
      </w:r>
      <w:r w:rsidR="00161EE4">
        <w:rPr>
          <w:rFonts w:ascii="Calibri" w:eastAsia="Calibri" w:hAnsi="Calibri" w:cs="Calibri"/>
          <w:sz w:val="24"/>
          <w:szCs w:val="24"/>
        </w:rPr>
        <w:t xml:space="preserve">à </w:t>
      </w:r>
      <w:r>
        <w:rPr>
          <w:rFonts w:ascii="Calibri" w:eastAsia="Calibri" w:hAnsi="Calibri" w:cs="Calibri"/>
          <w:sz w:val="24"/>
          <w:szCs w:val="24"/>
        </w:rPr>
        <w:t xml:space="preserve">l’analyse documentaire sur l’élaboration/exécution de la CDN et la capitalisation de modèles pour la quantification des </w:t>
      </w:r>
      <w:r w:rsidR="0045179B">
        <w:rPr>
          <w:rFonts w:ascii="Calibri" w:eastAsia="Calibri" w:hAnsi="Calibri" w:cs="Calibri"/>
          <w:sz w:val="24"/>
          <w:szCs w:val="24"/>
        </w:rPr>
        <w:t>Gaz à Effet de Serre (</w:t>
      </w:r>
      <w:r>
        <w:rPr>
          <w:rFonts w:ascii="Calibri" w:eastAsia="Calibri" w:hAnsi="Calibri" w:cs="Calibri"/>
          <w:sz w:val="24"/>
          <w:szCs w:val="24"/>
        </w:rPr>
        <w:t>GES</w:t>
      </w:r>
      <w:r w:rsidR="0045179B">
        <w:rPr>
          <w:rFonts w:ascii="Calibri" w:eastAsia="Calibri" w:hAnsi="Calibri" w:cs="Calibri"/>
          <w:sz w:val="24"/>
          <w:szCs w:val="24"/>
        </w:rPr>
        <w:t xml:space="preserve">) </w:t>
      </w:r>
      <w:r>
        <w:rPr>
          <w:rFonts w:ascii="Calibri" w:eastAsia="Calibri" w:hAnsi="Calibri" w:cs="Calibri"/>
          <w:sz w:val="24"/>
          <w:szCs w:val="24"/>
        </w:rPr>
        <w:t xml:space="preserve"> et la séquestration du carbone ; ii. aux entretiens semi-directifs avec les acteurs et actrices impliqués dans l’exécution de la CDN, iii. aux rencontres d’échange avec certaines organisations impliquées dans la réalisation de la CDN, iv. à l’enquête auprès des collectivités territoriales et v. aux enquêtes auprès des bénéficiaires des projets.</w:t>
      </w:r>
      <w:r w:rsidR="00161EE4">
        <w:rPr>
          <w:rFonts w:ascii="Calibri" w:eastAsia="Calibri" w:hAnsi="Calibri" w:cs="Calibri"/>
          <w:sz w:val="24"/>
          <w:szCs w:val="24"/>
        </w:rPr>
        <w:t xml:space="preserve"> </w:t>
      </w:r>
    </w:p>
    <w:bookmarkEnd w:id="2"/>
    <w:p w14:paraId="102F431A" w14:textId="7FF66E33" w:rsidR="004936A4" w:rsidRDefault="0002754C" w:rsidP="005550EC">
      <w:pPr>
        <w:spacing w:after="0" w:line="240" w:lineRule="auto"/>
        <w:jc w:val="both"/>
        <w:rPr>
          <w:rFonts w:ascii="Calibri" w:eastAsia="Calibri" w:hAnsi="Calibri" w:cs="Calibri"/>
          <w:sz w:val="24"/>
          <w:szCs w:val="24"/>
        </w:rPr>
      </w:pPr>
      <w:r>
        <w:rPr>
          <w:rFonts w:ascii="Calibri" w:eastAsia="Calibri" w:hAnsi="Calibri" w:cs="Calibri"/>
          <w:i/>
          <w:sz w:val="24"/>
          <w:szCs w:val="24"/>
        </w:rPr>
        <w:lastRenderedPageBreak/>
        <w:t>Le bilan carbone a été élaboré pour quantifier les réalisations.</w:t>
      </w:r>
      <w:r>
        <w:rPr>
          <w:rFonts w:ascii="Calibri" w:eastAsia="Calibri" w:hAnsi="Calibri" w:cs="Calibri"/>
          <w:sz w:val="24"/>
          <w:szCs w:val="24"/>
        </w:rPr>
        <w:t xml:space="preserve"> La contribution de chaque secteur à la réduction des GES a été évaluée sur la base des réalisations physiques des activités des projets et programmes entre 2015 et 2020. </w:t>
      </w:r>
      <w:r w:rsidR="00D50E46">
        <w:rPr>
          <w:rFonts w:ascii="Calibri" w:eastAsia="Calibri" w:hAnsi="Calibri" w:cs="Calibri"/>
          <w:sz w:val="24"/>
          <w:szCs w:val="24"/>
        </w:rPr>
        <w:t>Pour cela, les estimations se basent sur </w:t>
      </w:r>
      <w:r w:rsidR="007158DF">
        <w:rPr>
          <w:rFonts w:ascii="Calibri" w:eastAsia="Calibri" w:hAnsi="Calibri" w:cs="Calibri"/>
          <w:sz w:val="24"/>
          <w:szCs w:val="24"/>
        </w:rPr>
        <w:t>les considérations suivantes</w:t>
      </w:r>
      <w:r w:rsidR="00752F95">
        <w:rPr>
          <w:rFonts w:ascii="Calibri" w:eastAsia="Calibri" w:hAnsi="Calibri" w:cs="Calibri"/>
          <w:sz w:val="24"/>
          <w:szCs w:val="24"/>
        </w:rPr>
        <w:t xml:space="preserve"> </w:t>
      </w:r>
      <w:r w:rsidR="00D50E46">
        <w:rPr>
          <w:rFonts w:ascii="Calibri" w:eastAsia="Calibri" w:hAnsi="Calibri" w:cs="Calibri"/>
          <w:sz w:val="24"/>
          <w:szCs w:val="24"/>
        </w:rPr>
        <w:t xml:space="preserve">: </w:t>
      </w:r>
    </w:p>
    <w:p w14:paraId="002DF2EC" w14:textId="575F3DE0" w:rsidR="004936A4" w:rsidRPr="00D50E46" w:rsidRDefault="0002754C" w:rsidP="005550EC">
      <w:pPr>
        <w:pStyle w:val="ListParagraph"/>
        <w:numPr>
          <w:ilvl w:val="0"/>
          <w:numId w:val="25"/>
        </w:numPr>
        <w:spacing w:after="0" w:line="240" w:lineRule="auto"/>
        <w:ind w:left="284" w:hanging="284"/>
        <w:jc w:val="both"/>
        <w:rPr>
          <w:rFonts w:ascii="Calibri" w:eastAsia="Calibri" w:hAnsi="Calibri" w:cs="Calibri"/>
          <w:sz w:val="24"/>
          <w:szCs w:val="24"/>
        </w:rPr>
      </w:pPr>
      <w:r w:rsidRPr="00D50E46">
        <w:rPr>
          <w:rFonts w:ascii="Calibri" w:eastAsia="Calibri" w:hAnsi="Calibri" w:cs="Calibri"/>
          <w:sz w:val="24"/>
          <w:szCs w:val="24"/>
        </w:rPr>
        <w:t>Des références techniques nationales (</w:t>
      </w:r>
      <w:r w:rsidR="00EA29C7">
        <w:rPr>
          <w:rFonts w:ascii="Calibri" w:eastAsia="Calibri" w:hAnsi="Calibri" w:cs="Calibri"/>
          <w:sz w:val="24"/>
          <w:szCs w:val="24"/>
        </w:rPr>
        <w:t>é</w:t>
      </w:r>
      <w:r w:rsidR="00EA29C7" w:rsidRPr="00D50E46">
        <w:rPr>
          <w:rFonts w:ascii="Calibri" w:eastAsia="Calibri" w:hAnsi="Calibri" w:cs="Calibri"/>
          <w:sz w:val="24"/>
          <w:szCs w:val="24"/>
        </w:rPr>
        <w:t>nergie</w:t>
      </w:r>
      <w:r w:rsidRPr="00D50E46">
        <w:rPr>
          <w:rFonts w:ascii="Calibri" w:eastAsia="Calibri" w:hAnsi="Calibri" w:cs="Calibri"/>
          <w:sz w:val="24"/>
          <w:szCs w:val="24"/>
        </w:rPr>
        <w:t xml:space="preserve"> et transport) sur les facteurs d’émission et les méthodes de quantification du carbone utilisées par les projets et programmes </w:t>
      </w:r>
      <w:bookmarkStart w:id="3" w:name="_Hlk171249132"/>
      <w:r w:rsidR="007F1FFC">
        <w:rPr>
          <w:rFonts w:ascii="Calibri" w:hAnsi="Calibri" w:cs="Calibri"/>
          <w:sz w:val="24"/>
          <w:szCs w:val="24"/>
        </w:rPr>
        <w:t>A</w:t>
      </w:r>
      <w:r w:rsidR="007F1FFC" w:rsidRPr="007F1FFC">
        <w:rPr>
          <w:rFonts w:ascii="Calibri" w:hAnsi="Calibri" w:cs="Calibri"/>
          <w:sz w:val="24"/>
          <w:szCs w:val="24"/>
        </w:rPr>
        <w:t>griculture</w:t>
      </w:r>
      <w:r w:rsidR="007F1FFC">
        <w:rPr>
          <w:rFonts w:ascii="Calibri" w:hAnsi="Calibri" w:cs="Calibri"/>
          <w:sz w:val="24"/>
          <w:szCs w:val="24"/>
        </w:rPr>
        <w:t>,</w:t>
      </w:r>
      <w:r w:rsidR="007F1FFC" w:rsidRPr="007F1FFC">
        <w:rPr>
          <w:rFonts w:ascii="Calibri" w:hAnsi="Calibri" w:cs="Calibri"/>
          <w:sz w:val="24"/>
          <w:szCs w:val="24"/>
        </w:rPr>
        <w:t xml:space="preserve"> </w:t>
      </w:r>
      <w:r w:rsidR="007F1FFC">
        <w:rPr>
          <w:rFonts w:ascii="Calibri" w:hAnsi="Calibri" w:cs="Calibri"/>
          <w:sz w:val="24"/>
          <w:szCs w:val="24"/>
        </w:rPr>
        <w:t>F</w:t>
      </w:r>
      <w:r w:rsidR="007F1FFC" w:rsidRPr="007F1FFC">
        <w:rPr>
          <w:rFonts w:ascii="Calibri" w:hAnsi="Calibri" w:cs="Calibri"/>
          <w:sz w:val="24"/>
          <w:szCs w:val="24"/>
        </w:rPr>
        <w:t xml:space="preserve">oresterie, </w:t>
      </w:r>
      <w:r w:rsidR="007F1FFC">
        <w:rPr>
          <w:rFonts w:ascii="Calibri" w:hAnsi="Calibri" w:cs="Calibri"/>
          <w:sz w:val="24"/>
          <w:szCs w:val="24"/>
        </w:rPr>
        <w:t>U</w:t>
      </w:r>
      <w:r w:rsidR="007F1FFC" w:rsidRPr="007F1FFC">
        <w:rPr>
          <w:rFonts w:ascii="Calibri" w:hAnsi="Calibri" w:cs="Calibri"/>
          <w:sz w:val="24"/>
          <w:szCs w:val="24"/>
        </w:rPr>
        <w:t xml:space="preserve">tilisation des </w:t>
      </w:r>
      <w:r w:rsidR="007F1FFC">
        <w:rPr>
          <w:rFonts w:ascii="Calibri" w:hAnsi="Calibri" w:cs="Calibri"/>
          <w:sz w:val="24"/>
          <w:szCs w:val="24"/>
        </w:rPr>
        <w:t>t</w:t>
      </w:r>
      <w:r w:rsidR="007F1FFC" w:rsidRPr="007F1FFC">
        <w:rPr>
          <w:rFonts w:ascii="Calibri" w:hAnsi="Calibri" w:cs="Calibri"/>
          <w:sz w:val="24"/>
          <w:szCs w:val="24"/>
        </w:rPr>
        <w:t>erres</w:t>
      </w:r>
      <w:r w:rsidR="007F1FFC" w:rsidRPr="00BC27D2">
        <w:rPr>
          <w:rFonts w:ascii="Calibri" w:hAnsi="Calibri" w:cs="Calibri"/>
          <w:b/>
          <w:bCs/>
          <w:sz w:val="24"/>
          <w:szCs w:val="24"/>
        </w:rPr>
        <w:t xml:space="preserve"> </w:t>
      </w:r>
      <w:r w:rsidR="007F1FFC">
        <w:rPr>
          <w:rFonts w:ascii="Calibri" w:eastAsia="Calibri" w:hAnsi="Calibri" w:cs="Calibri"/>
          <w:sz w:val="24"/>
          <w:szCs w:val="24"/>
        </w:rPr>
        <w:t>(</w:t>
      </w:r>
      <w:r w:rsidRPr="007F1FFC">
        <w:rPr>
          <w:rFonts w:ascii="Calibri" w:eastAsia="Calibri" w:hAnsi="Calibri" w:cs="Calibri"/>
          <w:b/>
          <w:bCs/>
          <w:sz w:val="24"/>
          <w:szCs w:val="24"/>
        </w:rPr>
        <w:t>AFOLU</w:t>
      </w:r>
      <w:r w:rsidR="007F1FFC">
        <w:rPr>
          <w:rFonts w:ascii="Calibri" w:eastAsia="Calibri" w:hAnsi="Calibri" w:cs="Calibri"/>
          <w:sz w:val="24"/>
          <w:szCs w:val="24"/>
        </w:rPr>
        <w:t>)</w:t>
      </w:r>
      <w:bookmarkEnd w:id="3"/>
      <w:r w:rsidRPr="00D50E46">
        <w:rPr>
          <w:rFonts w:ascii="Calibri" w:eastAsia="Calibri" w:hAnsi="Calibri" w:cs="Calibri"/>
          <w:sz w:val="24"/>
          <w:szCs w:val="24"/>
        </w:rPr>
        <w:t xml:space="preserve"> ont été décrites et prises en compte pour justifier l’utilisation des chiffres produits par ces projets et intégrés dans le bilan. </w:t>
      </w:r>
    </w:p>
    <w:p w14:paraId="7DCCFD3B" w14:textId="220178DB" w:rsidR="004936A4" w:rsidRPr="00D50E46" w:rsidRDefault="0002754C" w:rsidP="005550EC">
      <w:pPr>
        <w:pStyle w:val="ListParagraph"/>
        <w:numPr>
          <w:ilvl w:val="0"/>
          <w:numId w:val="25"/>
        </w:numPr>
        <w:spacing w:line="240" w:lineRule="auto"/>
        <w:ind w:left="284" w:hanging="284"/>
        <w:jc w:val="both"/>
        <w:rPr>
          <w:rFonts w:ascii="Calibri" w:eastAsia="Calibri" w:hAnsi="Calibri" w:cs="Calibri"/>
          <w:sz w:val="24"/>
          <w:szCs w:val="24"/>
        </w:rPr>
      </w:pPr>
      <w:r w:rsidRPr="00D50E46">
        <w:rPr>
          <w:rFonts w:ascii="Calibri" w:eastAsia="Calibri" w:hAnsi="Calibri" w:cs="Calibri"/>
          <w:sz w:val="24"/>
          <w:szCs w:val="24"/>
        </w:rPr>
        <w:t xml:space="preserve">La quantification </w:t>
      </w:r>
      <w:r w:rsidRPr="0045179B">
        <w:rPr>
          <w:rFonts w:ascii="Calibri" w:eastAsia="Calibri" w:hAnsi="Calibri" w:cs="Calibri"/>
          <w:sz w:val="24"/>
          <w:szCs w:val="24"/>
        </w:rPr>
        <w:t>du carbone séquestré a été déterminée à l’aide du logiciel, EX-ANTE CARBON-BALANCE TOOL - EX-ACT, développé par l</w:t>
      </w:r>
      <w:r w:rsidR="0045179B" w:rsidRPr="0045179B">
        <w:rPr>
          <w:rFonts w:ascii="Calibri" w:eastAsia="Calibri" w:hAnsi="Calibri" w:cs="Calibri"/>
          <w:sz w:val="24"/>
          <w:szCs w:val="24"/>
        </w:rPr>
        <w:t>’</w:t>
      </w:r>
      <w:r w:rsidR="0045179B" w:rsidRPr="00E4481A">
        <w:rPr>
          <w:rFonts w:ascii="Calibri" w:eastAsia="Calibri" w:hAnsi="Calibri" w:cs="Calibri"/>
          <w:sz w:val="24"/>
          <w:szCs w:val="24"/>
        </w:rPr>
        <w:t>Organisation pour l'alimentation et l'agricultur</w:t>
      </w:r>
      <w:r w:rsidR="000F232F">
        <w:rPr>
          <w:rFonts w:ascii="Calibri" w:eastAsia="Calibri" w:hAnsi="Calibri" w:cs="Calibri"/>
          <w:sz w:val="24"/>
          <w:szCs w:val="24"/>
        </w:rPr>
        <w:t>e</w:t>
      </w:r>
      <w:r w:rsidR="0045179B" w:rsidRPr="0045179B" w:rsidDel="0045179B">
        <w:rPr>
          <w:rFonts w:ascii="Calibri" w:eastAsia="Calibri" w:hAnsi="Calibri" w:cs="Calibri"/>
          <w:sz w:val="24"/>
          <w:szCs w:val="24"/>
        </w:rPr>
        <w:t xml:space="preserve"> </w:t>
      </w:r>
      <w:r w:rsidR="0045179B" w:rsidRPr="0045179B">
        <w:rPr>
          <w:rFonts w:ascii="Calibri" w:eastAsia="Calibri" w:hAnsi="Calibri" w:cs="Calibri"/>
          <w:sz w:val="24"/>
          <w:szCs w:val="24"/>
        </w:rPr>
        <w:t>(</w:t>
      </w:r>
      <w:r w:rsidRPr="0045179B">
        <w:rPr>
          <w:rFonts w:ascii="Calibri" w:eastAsia="Calibri" w:hAnsi="Calibri" w:cs="Calibri"/>
          <w:sz w:val="24"/>
          <w:szCs w:val="24"/>
        </w:rPr>
        <w:t>FAO</w:t>
      </w:r>
      <w:r w:rsidR="0045179B" w:rsidRPr="0045179B">
        <w:rPr>
          <w:rFonts w:ascii="Calibri" w:eastAsia="Calibri" w:hAnsi="Calibri" w:cs="Calibri"/>
          <w:sz w:val="24"/>
          <w:szCs w:val="24"/>
        </w:rPr>
        <w:t>)</w:t>
      </w:r>
      <w:r w:rsidRPr="0045179B">
        <w:rPr>
          <w:rFonts w:ascii="Calibri" w:eastAsia="Calibri" w:hAnsi="Calibri" w:cs="Calibri"/>
          <w:sz w:val="24"/>
          <w:szCs w:val="24"/>
        </w:rPr>
        <w:t xml:space="preserve"> et utilisé par l’</w:t>
      </w:r>
      <w:r w:rsidR="0045179B" w:rsidRPr="00E4481A">
        <w:rPr>
          <w:rFonts w:ascii="Calibri" w:eastAsia="Calibri" w:hAnsi="Calibri" w:cs="Calibri"/>
          <w:sz w:val="24"/>
          <w:szCs w:val="24"/>
        </w:rPr>
        <w:t>Observateur National du Développement Durable (</w:t>
      </w:r>
      <w:r w:rsidRPr="0045179B">
        <w:rPr>
          <w:rFonts w:ascii="Calibri" w:eastAsia="Calibri" w:hAnsi="Calibri" w:cs="Calibri"/>
          <w:sz w:val="24"/>
          <w:szCs w:val="24"/>
        </w:rPr>
        <w:t>ONDD</w:t>
      </w:r>
      <w:r w:rsidR="0045179B" w:rsidRPr="0045179B">
        <w:rPr>
          <w:rFonts w:ascii="Calibri" w:eastAsia="Calibri" w:hAnsi="Calibri" w:cs="Calibri"/>
          <w:sz w:val="24"/>
          <w:szCs w:val="24"/>
        </w:rPr>
        <w:t>)</w:t>
      </w:r>
      <w:r w:rsidRPr="0045179B">
        <w:rPr>
          <w:rFonts w:ascii="Calibri" w:eastAsia="Calibri" w:hAnsi="Calibri" w:cs="Calibri"/>
          <w:sz w:val="24"/>
          <w:szCs w:val="24"/>
        </w:rPr>
        <w:t xml:space="preserve"> pour quantifier</w:t>
      </w:r>
      <w:r w:rsidRPr="00D50E46">
        <w:rPr>
          <w:rFonts w:ascii="Calibri" w:eastAsia="Calibri" w:hAnsi="Calibri" w:cs="Calibri"/>
          <w:sz w:val="24"/>
          <w:szCs w:val="24"/>
        </w:rPr>
        <w:t xml:space="preserve"> le carbone séquestré. </w:t>
      </w:r>
    </w:p>
    <w:p w14:paraId="3C1BB4CD" w14:textId="77777777" w:rsidR="004936A4" w:rsidRPr="00D50E46" w:rsidRDefault="0002754C" w:rsidP="005550EC">
      <w:pPr>
        <w:pStyle w:val="ListParagraph"/>
        <w:numPr>
          <w:ilvl w:val="0"/>
          <w:numId w:val="25"/>
        </w:numPr>
        <w:spacing w:line="240" w:lineRule="auto"/>
        <w:ind w:left="284" w:hanging="284"/>
        <w:jc w:val="both"/>
        <w:rPr>
          <w:rFonts w:ascii="Calibri" w:eastAsia="Calibri" w:hAnsi="Calibri" w:cs="Calibri"/>
          <w:sz w:val="24"/>
          <w:szCs w:val="24"/>
        </w:rPr>
      </w:pPr>
      <w:r w:rsidRPr="00D50E46">
        <w:rPr>
          <w:rFonts w:ascii="Calibri" w:eastAsia="Calibri" w:hAnsi="Calibri" w:cs="Calibri"/>
          <w:sz w:val="24"/>
          <w:szCs w:val="24"/>
        </w:rPr>
        <w:t xml:space="preserve">La détermination de la contribution de chaque projet a été calculée sur la base de la cible pour les années 2020 et 2030. En raison de l’absence de données sur les émissions, seuls les GES évités ont été obtenus. </w:t>
      </w:r>
    </w:p>
    <w:p w14:paraId="0DF3E1C9" w14:textId="77777777" w:rsidR="004936A4" w:rsidRPr="00D50E46" w:rsidRDefault="0002754C" w:rsidP="005550EC">
      <w:pPr>
        <w:pStyle w:val="ListParagraph"/>
        <w:numPr>
          <w:ilvl w:val="0"/>
          <w:numId w:val="25"/>
        </w:numPr>
        <w:spacing w:line="240" w:lineRule="auto"/>
        <w:ind w:left="284" w:hanging="284"/>
        <w:jc w:val="both"/>
        <w:rPr>
          <w:rFonts w:ascii="Calibri" w:eastAsia="Calibri" w:hAnsi="Calibri" w:cs="Calibri"/>
          <w:sz w:val="24"/>
          <w:szCs w:val="24"/>
        </w:rPr>
      </w:pPr>
      <w:r w:rsidRPr="00D50E46">
        <w:rPr>
          <w:rFonts w:ascii="Calibri" w:eastAsia="Calibri" w:hAnsi="Calibri" w:cs="Calibri"/>
          <w:sz w:val="24"/>
          <w:szCs w:val="24"/>
        </w:rPr>
        <w:t xml:space="preserve">Pour les projets qui utilisent des approches différentes, les facteurs d’émission des activités de chaque projet ou programme ont été utilisés. </w:t>
      </w:r>
    </w:p>
    <w:p w14:paraId="358CABA5" w14:textId="2AD45CC8" w:rsidR="004936A4" w:rsidRDefault="0002754C">
      <w:pPr>
        <w:pStyle w:val="ListParagraph"/>
        <w:numPr>
          <w:ilvl w:val="0"/>
          <w:numId w:val="25"/>
        </w:numPr>
        <w:spacing w:line="240" w:lineRule="auto"/>
        <w:ind w:left="284" w:hanging="284"/>
        <w:jc w:val="both"/>
        <w:rPr>
          <w:rFonts w:ascii="Calibri" w:eastAsia="Calibri" w:hAnsi="Calibri" w:cs="Calibri"/>
          <w:sz w:val="24"/>
          <w:szCs w:val="24"/>
        </w:rPr>
      </w:pPr>
      <w:r w:rsidRPr="00100915">
        <w:rPr>
          <w:rFonts w:ascii="Calibri" w:eastAsia="Calibri" w:hAnsi="Calibri" w:cs="Calibri"/>
          <w:sz w:val="24"/>
          <w:szCs w:val="24"/>
        </w:rPr>
        <w:t>Pour les projets d’adaptation, l’estimation se base sur différents indicateurs qui qualifie</w:t>
      </w:r>
      <w:r w:rsidR="00873D78">
        <w:rPr>
          <w:rFonts w:ascii="Calibri" w:eastAsia="Calibri" w:hAnsi="Calibri" w:cs="Calibri"/>
          <w:sz w:val="24"/>
          <w:szCs w:val="24"/>
        </w:rPr>
        <w:t>nt</w:t>
      </w:r>
      <w:r w:rsidRPr="00100915">
        <w:rPr>
          <w:rFonts w:ascii="Calibri" w:eastAsia="Calibri" w:hAnsi="Calibri" w:cs="Calibri"/>
          <w:sz w:val="24"/>
          <w:szCs w:val="24"/>
        </w:rPr>
        <w:t xml:space="preserve"> la perception de la capacité du projet à réduire la vulnérabilité du public cible aux variations de l’environnement</w:t>
      </w:r>
      <w:r w:rsidR="005550EC" w:rsidRPr="00100915">
        <w:rPr>
          <w:rFonts w:ascii="Calibri" w:eastAsia="Calibri" w:hAnsi="Calibri" w:cs="Calibri"/>
          <w:sz w:val="24"/>
          <w:szCs w:val="24"/>
        </w:rPr>
        <w:t>.</w:t>
      </w:r>
    </w:p>
    <w:p w14:paraId="46A67E09" w14:textId="77777777" w:rsidR="00100915" w:rsidRPr="00100915" w:rsidRDefault="00100915" w:rsidP="00100915">
      <w:pPr>
        <w:pStyle w:val="ListParagraph"/>
        <w:spacing w:line="240" w:lineRule="auto"/>
        <w:ind w:left="284"/>
        <w:jc w:val="both"/>
        <w:rPr>
          <w:rFonts w:ascii="Calibri" w:eastAsia="Calibri" w:hAnsi="Calibri" w:cs="Calibri"/>
          <w:sz w:val="24"/>
          <w:szCs w:val="24"/>
        </w:rPr>
      </w:pPr>
    </w:p>
    <w:p w14:paraId="70A1B39A" w14:textId="319FEE07" w:rsidR="004936A4" w:rsidRPr="00D50E46" w:rsidRDefault="0002754C" w:rsidP="00E4481A">
      <w:pPr>
        <w:spacing w:after="0" w:line="240" w:lineRule="auto"/>
        <w:jc w:val="both"/>
        <w:rPr>
          <w:rFonts w:ascii="Calibri" w:eastAsia="Calibri" w:hAnsi="Calibri" w:cs="Calibri"/>
          <w:b/>
          <w:i/>
          <w:color w:val="90C226" w:themeColor="accent1"/>
          <w:sz w:val="24"/>
          <w:szCs w:val="24"/>
        </w:rPr>
      </w:pPr>
      <w:r w:rsidRPr="00D50E46">
        <w:rPr>
          <w:rFonts w:ascii="Calibri" w:eastAsia="Calibri" w:hAnsi="Calibri" w:cs="Calibri"/>
          <w:b/>
          <w:i/>
          <w:color w:val="90C226" w:themeColor="accent1"/>
          <w:sz w:val="24"/>
          <w:szCs w:val="24"/>
        </w:rPr>
        <w:t>Différentes contraintes ont impacté le périmètre et la profondeur de l’évaluation</w:t>
      </w:r>
      <w:r w:rsidR="00D50E46" w:rsidRPr="00D50E46">
        <w:rPr>
          <w:rFonts w:ascii="Calibri" w:eastAsia="Calibri" w:hAnsi="Calibri" w:cs="Calibri"/>
          <w:b/>
          <w:i/>
          <w:color w:val="90C226" w:themeColor="accent1"/>
          <w:sz w:val="24"/>
          <w:szCs w:val="24"/>
        </w:rPr>
        <w:t> :</w:t>
      </w:r>
    </w:p>
    <w:p w14:paraId="7CE4E305" w14:textId="341BE819" w:rsidR="00D55A8D" w:rsidRDefault="00D55A8D" w:rsidP="000F232F">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En raison de différentes contraintes, seuls 104 projets ont été analysés sur les 167 répertoriés par </w:t>
      </w:r>
      <w:r w:rsidR="004E2E02">
        <w:rPr>
          <w:rFonts w:ascii="Calibri" w:eastAsia="Calibri" w:hAnsi="Calibri" w:cs="Calibri"/>
          <w:sz w:val="24"/>
          <w:szCs w:val="24"/>
        </w:rPr>
        <w:t xml:space="preserve">une </w:t>
      </w:r>
      <w:r>
        <w:rPr>
          <w:rFonts w:ascii="Calibri" w:eastAsia="Calibri" w:hAnsi="Calibri" w:cs="Calibri"/>
          <w:sz w:val="24"/>
          <w:szCs w:val="24"/>
        </w:rPr>
        <w:t xml:space="preserve">étude GIZ. Ceci concerne : </w:t>
      </w:r>
    </w:p>
    <w:p w14:paraId="73E6281B" w14:textId="6F73BE68" w:rsidR="00D55A8D" w:rsidRDefault="00D55A8D" w:rsidP="00E4481A">
      <w:pPr>
        <w:numPr>
          <w:ilvl w:val="0"/>
          <w:numId w:val="26"/>
        </w:numPr>
        <w:spacing w:after="0" w:line="240" w:lineRule="auto"/>
        <w:ind w:left="142" w:hanging="142"/>
        <w:jc w:val="both"/>
        <w:rPr>
          <w:rFonts w:ascii="Calibri" w:eastAsia="Calibri" w:hAnsi="Calibri" w:cs="Calibri"/>
          <w:sz w:val="24"/>
          <w:szCs w:val="24"/>
        </w:rPr>
      </w:pPr>
      <w:r>
        <w:rPr>
          <w:rFonts w:ascii="Calibri" w:eastAsia="Calibri" w:hAnsi="Calibri" w:cs="Calibri"/>
          <w:sz w:val="24"/>
          <w:szCs w:val="24"/>
        </w:rPr>
        <w:t>Les secteurs de l’agriculture, de l’environnement, des ressources animales et des ressources en eau (64 projets analysés sur 105 répertoriés)</w:t>
      </w:r>
    </w:p>
    <w:p w14:paraId="5F9D8639" w14:textId="47B23D82" w:rsidR="00D55A8D" w:rsidRDefault="00D55A8D" w:rsidP="00E4481A">
      <w:pPr>
        <w:numPr>
          <w:ilvl w:val="0"/>
          <w:numId w:val="26"/>
        </w:numPr>
        <w:spacing w:after="0" w:line="240" w:lineRule="auto"/>
        <w:ind w:left="142" w:hanging="142"/>
        <w:jc w:val="both"/>
        <w:rPr>
          <w:rFonts w:ascii="Calibri" w:eastAsia="Calibri" w:hAnsi="Calibri" w:cs="Calibri"/>
          <w:sz w:val="24"/>
          <w:szCs w:val="24"/>
        </w:rPr>
      </w:pPr>
      <w:r>
        <w:rPr>
          <w:rFonts w:ascii="Calibri" w:eastAsia="Calibri" w:hAnsi="Calibri" w:cs="Calibri"/>
          <w:sz w:val="24"/>
          <w:szCs w:val="24"/>
        </w:rPr>
        <w:t>Le secteur de l’énergie (34 projets analysés sur 51 répertoriés)</w:t>
      </w:r>
    </w:p>
    <w:p w14:paraId="393320A2" w14:textId="346B10A6" w:rsidR="00D55A8D" w:rsidRDefault="00D55A8D" w:rsidP="00E4481A">
      <w:pPr>
        <w:numPr>
          <w:ilvl w:val="0"/>
          <w:numId w:val="26"/>
        </w:numPr>
        <w:spacing w:line="240" w:lineRule="auto"/>
        <w:ind w:left="142" w:hanging="142"/>
        <w:jc w:val="both"/>
        <w:rPr>
          <w:rFonts w:ascii="Calibri" w:eastAsia="Calibri" w:hAnsi="Calibri" w:cs="Calibri"/>
          <w:sz w:val="24"/>
          <w:szCs w:val="24"/>
        </w:rPr>
      </w:pPr>
      <w:r>
        <w:rPr>
          <w:rFonts w:ascii="Calibri" w:eastAsia="Calibri" w:hAnsi="Calibri" w:cs="Calibri"/>
          <w:sz w:val="24"/>
          <w:szCs w:val="24"/>
        </w:rPr>
        <w:t>Les secteurs des transports, de l’urbanisme, des infrastructures et de la santé (6 projets traités sur 11 répertoriés)</w:t>
      </w:r>
      <w:r w:rsidR="0030550B">
        <w:rPr>
          <w:rFonts w:ascii="Calibri" w:eastAsia="Calibri" w:hAnsi="Calibri" w:cs="Calibri"/>
          <w:sz w:val="24"/>
          <w:szCs w:val="24"/>
        </w:rPr>
        <w:t>.</w:t>
      </w:r>
      <w:r>
        <w:rPr>
          <w:rFonts w:ascii="Calibri" w:eastAsia="Calibri" w:hAnsi="Calibri" w:cs="Calibri"/>
          <w:sz w:val="24"/>
          <w:szCs w:val="24"/>
        </w:rPr>
        <w:t xml:space="preserve"> </w:t>
      </w:r>
    </w:p>
    <w:p w14:paraId="067412E9" w14:textId="1EE36FA4" w:rsidR="004936A4" w:rsidRDefault="0002754C">
      <w:pPr>
        <w:spacing w:before="20" w:after="20" w:line="240" w:lineRule="auto"/>
        <w:jc w:val="both"/>
        <w:rPr>
          <w:rFonts w:ascii="Calibri" w:eastAsia="Calibri" w:hAnsi="Calibri" w:cs="Calibri"/>
          <w:sz w:val="24"/>
          <w:szCs w:val="24"/>
        </w:rPr>
      </w:pPr>
      <w:r>
        <w:rPr>
          <w:rFonts w:ascii="Calibri" w:eastAsia="Calibri" w:hAnsi="Calibri" w:cs="Calibri"/>
          <w:sz w:val="24"/>
          <w:szCs w:val="24"/>
        </w:rPr>
        <w:t xml:space="preserve">Les limites concernent aussi bien le document du rapport de la CDN que les projets </w:t>
      </w:r>
      <w:r w:rsidR="00D50E46">
        <w:rPr>
          <w:rFonts w:ascii="Calibri" w:eastAsia="Calibri" w:hAnsi="Calibri" w:cs="Calibri"/>
          <w:sz w:val="24"/>
          <w:szCs w:val="24"/>
        </w:rPr>
        <w:t>évalués :</w:t>
      </w:r>
    </w:p>
    <w:p w14:paraId="2E0620C7" w14:textId="50FF99FC" w:rsidR="004936A4" w:rsidRPr="00D50E46" w:rsidRDefault="0002754C" w:rsidP="00E4481A">
      <w:pPr>
        <w:pStyle w:val="ListParagraph"/>
        <w:numPr>
          <w:ilvl w:val="0"/>
          <w:numId w:val="21"/>
        </w:numPr>
        <w:spacing w:before="20" w:after="20" w:line="240" w:lineRule="auto"/>
        <w:ind w:left="142" w:hanging="142"/>
        <w:jc w:val="both"/>
        <w:rPr>
          <w:rFonts w:ascii="Calibri" w:eastAsia="Calibri" w:hAnsi="Calibri" w:cs="Calibri"/>
          <w:sz w:val="24"/>
          <w:szCs w:val="24"/>
        </w:rPr>
      </w:pPr>
      <w:r w:rsidRPr="00D50E46">
        <w:rPr>
          <w:rFonts w:ascii="Calibri" w:eastAsia="Calibri" w:hAnsi="Calibri" w:cs="Calibri"/>
          <w:sz w:val="24"/>
          <w:szCs w:val="24"/>
        </w:rPr>
        <w:t>Absence de spécification des modèles et méthodes de quantification des GES dans la CDN</w:t>
      </w:r>
      <w:r w:rsidR="00C75129">
        <w:rPr>
          <w:rFonts w:ascii="Calibri" w:eastAsia="Calibri" w:hAnsi="Calibri" w:cs="Calibri"/>
          <w:sz w:val="24"/>
          <w:szCs w:val="24"/>
        </w:rPr>
        <w:t> ;</w:t>
      </w:r>
      <w:r w:rsidRPr="00D50E46">
        <w:rPr>
          <w:rFonts w:ascii="Calibri" w:eastAsia="Calibri" w:hAnsi="Calibri" w:cs="Calibri"/>
          <w:sz w:val="24"/>
          <w:szCs w:val="24"/>
        </w:rPr>
        <w:t xml:space="preserve"> </w:t>
      </w:r>
    </w:p>
    <w:p w14:paraId="3C244B9C" w14:textId="1EBB1FE3" w:rsidR="004936A4" w:rsidRPr="00D50E46" w:rsidRDefault="0002754C" w:rsidP="00E4481A">
      <w:pPr>
        <w:pStyle w:val="ListParagraph"/>
        <w:numPr>
          <w:ilvl w:val="0"/>
          <w:numId w:val="21"/>
        </w:numPr>
        <w:spacing w:after="0" w:line="240" w:lineRule="auto"/>
        <w:ind w:left="142" w:hanging="142"/>
        <w:jc w:val="both"/>
        <w:rPr>
          <w:rFonts w:ascii="Calibri" w:eastAsia="Calibri" w:hAnsi="Calibri" w:cs="Calibri"/>
          <w:sz w:val="24"/>
          <w:szCs w:val="24"/>
        </w:rPr>
      </w:pPr>
      <w:r w:rsidRPr="00D50E46">
        <w:rPr>
          <w:rFonts w:ascii="Calibri" w:eastAsia="Calibri" w:hAnsi="Calibri" w:cs="Calibri"/>
          <w:sz w:val="24"/>
          <w:szCs w:val="24"/>
        </w:rPr>
        <w:t>Non-fonctionnalité du dispositif de suivi, de collecte des données de la CDN</w:t>
      </w:r>
      <w:r w:rsidR="00C75129">
        <w:rPr>
          <w:rFonts w:ascii="Calibri" w:eastAsia="Calibri" w:hAnsi="Calibri" w:cs="Calibri"/>
          <w:sz w:val="24"/>
          <w:szCs w:val="24"/>
        </w:rPr>
        <w:t> ;</w:t>
      </w:r>
    </w:p>
    <w:p w14:paraId="577566ED" w14:textId="546C26D7" w:rsidR="004936A4" w:rsidRPr="00D50E46" w:rsidRDefault="0002754C" w:rsidP="00E4481A">
      <w:pPr>
        <w:pStyle w:val="ListParagraph"/>
        <w:numPr>
          <w:ilvl w:val="0"/>
          <w:numId w:val="21"/>
        </w:numPr>
        <w:spacing w:after="0" w:line="240" w:lineRule="auto"/>
        <w:ind w:left="142" w:hanging="142"/>
        <w:jc w:val="both"/>
        <w:rPr>
          <w:rFonts w:ascii="Calibri" w:eastAsia="Calibri" w:hAnsi="Calibri" w:cs="Calibri"/>
          <w:sz w:val="24"/>
          <w:szCs w:val="24"/>
        </w:rPr>
      </w:pPr>
      <w:r w:rsidRPr="00D50E46">
        <w:rPr>
          <w:rFonts w:ascii="Calibri" w:eastAsia="Calibri" w:hAnsi="Calibri" w:cs="Calibri"/>
          <w:sz w:val="24"/>
          <w:szCs w:val="24"/>
        </w:rPr>
        <w:t>Difficulté d’identifier les projets à évaluer et difficulté de souscrire le nombre de projets inclus dans le périmètre de la CDN</w:t>
      </w:r>
      <w:r w:rsidR="00C75129">
        <w:rPr>
          <w:rFonts w:ascii="Calibri" w:eastAsia="Calibri" w:hAnsi="Calibri" w:cs="Calibri"/>
          <w:sz w:val="24"/>
          <w:szCs w:val="24"/>
        </w:rPr>
        <w:t> ;</w:t>
      </w:r>
    </w:p>
    <w:p w14:paraId="4DFA8855" w14:textId="6445C3BA" w:rsidR="004936A4" w:rsidRPr="00D50E46" w:rsidRDefault="0002754C" w:rsidP="00E4481A">
      <w:pPr>
        <w:pStyle w:val="ListParagraph"/>
        <w:numPr>
          <w:ilvl w:val="0"/>
          <w:numId w:val="21"/>
        </w:numPr>
        <w:spacing w:after="0" w:line="240" w:lineRule="auto"/>
        <w:ind w:left="142" w:hanging="142"/>
        <w:jc w:val="both"/>
        <w:rPr>
          <w:rFonts w:ascii="Calibri" w:eastAsia="Calibri" w:hAnsi="Calibri" w:cs="Calibri"/>
          <w:sz w:val="24"/>
          <w:szCs w:val="24"/>
        </w:rPr>
      </w:pPr>
      <w:r w:rsidRPr="00D50E46">
        <w:rPr>
          <w:rFonts w:ascii="Calibri" w:eastAsia="Calibri" w:hAnsi="Calibri" w:cs="Calibri"/>
          <w:sz w:val="24"/>
          <w:szCs w:val="24"/>
        </w:rPr>
        <w:t>Absence de données de suivi, nécessaires pour l’évaluation des projets. Ceci concerne essentiellement des indicateurs tels que les taux de réalisation (physique et financière), le nombre de personnes bénéficiaires et la proportion des femmes parmi les bénéficiaires</w:t>
      </w:r>
      <w:r w:rsidR="00C75129">
        <w:rPr>
          <w:rFonts w:ascii="Calibri" w:eastAsia="Calibri" w:hAnsi="Calibri" w:cs="Calibri"/>
          <w:sz w:val="24"/>
          <w:szCs w:val="24"/>
        </w:rPr>
        <w:t> ;</w:t>
      </w:r>
    </w:p>
    <w:p w14:paraId="1F4D16D9" w14:textId="3D7F794A" w:rsidR="004936A4" w:rsidRPr="00D50E46" w:rsidRDefault="0002754C" w:rsidP="00E4481A">
      <w:pPr>
        <w:pStyle w:val="ListParagraph"/>
        <w:numPr>
          <w:ilvl w:val="0"/>
          <w:numId w:val="21"/>
        </w:numPr>
        <w:spacing w:after="0" w:line="240" w:lineRule="auto"/>
        <w:ind w:left="142" w:hanging="142"/>
        <w:jc w:val="both"/>
        <w:rPr>
          <w:rFonts w:ascii="Calibri" w:eastAsia="Calibri" w:hAnsi="Calibri" w:cs="Calibri"/>
          <w:sz w:val="24"/>
          <w:szCs w:val="24"/>
        </w:rPr>
      </w:pPr>
      <w:r w:rsidRPr="00D50E46">
        <w:rPr>
          <w:rFonts w:ascii="Calibri" w:eastAsia="Calibri" w:hAnsi="Calibri" w:cs="Calibri"/>
          <w:sz w:val="24"/>
          <w:szCs w:val="24"/>
        </w:rPr>
        <w:t>Identification de 126 projets en plus des 62 projets initialement listés dans la CDN</w:t>
      </w:r>
      <w:r w:rsidR="00C75129">
        <w:rPr>
          <w:rFonts w:ascii="Calibri" w:eastAsia="Calibri" w:hAnsi="Calibri" w:cs="Calibri"/>
          <w:sz w:val="24"/>
          <w:szCs w:val="24"/>
        </w:rPr>
        <w:t> ;</w:t>
      </w:r>
      <w:r w:rsidRPr="00D50E46">
        <w:rPr>
          <w:rFonts w:ascii="Calibri" w:eastAsia="Calibri" w:hAnsi="Calibri" w:cs="Calibri"/>
          <w:sz w:val="24"/>
          <w:szCs w:val="24"/>
        </w:rPr>
        <w:t xml:space="preserve"> </w:t>
      </w:r>
    </w:p>
    <w:p w14:paraId="6B7240DF" w14:textId="436A3D0A" w:rsidR="004936A4" w:rsidRPr="00D50E46" w:rsidRDefault="0002754C" w:rsidP="00E4481A">
      <w:pPr>
        <w:pStyle w:val="ListParagraph"/>
        <w:numPr>
          <w:ilvl w:val="0"/>
          <w:numId w:val="21"/>
        </w:numPr>
        <w:spacing w:after="0" w:line="240" w:lineRule="auto"/>
        <w:ind w:left="142" w:hanging="142"/>
        <w:jc w:val="both"/>
        <w:rPr>
          <w:rFonts w:ascii="Calibri" w:eastAsia="Calibri" w:hAnsi="Calibri" w:cs="Calibri"/>
          <w:sz w:val="24"/>
          <w:szCs w:val="24"/>
        </w:rPr>
      </w:pPr>
      <w:r w:rsidRPr="00D50E46">
        <w:rPr>
          <w:rFonts w:ascii="Calibri" w:eastAsia="Calibri" w:hAnsi="Calibri" w:cs="Calibri"/>
          <w:sz w:val="24"/>
          <w:szCs w:val="24"/>
        </w:rPr>
        <w:t>Exclusion des régions du Sahel et de l’Est en raison des problèmes du Covid 19 et de l’insécurité</w:t>
      </w:r>
      <w:r w:rsidR="005204D2">
        <w:rPr>
          <w:rFonts w:ascii="Calibri" w:eastAsia="Calibri" w:hAnsi="Calibri" w:cs="Calibri"/>
          <w:sz w:val="24"/>
          <w:szCs w:val="24"/>
        </w:rPr>
        <w:t xml:space="preserve"> et la réalisation d’entretiens individuels au lieu d’un focus group avec les bénéficiaires y compris les femmes et les jeunes.</w:t>
      </w:r>
    </w:p>
    <w:p w14:paraId="5152D68F" w14:textId="0B2C8550" w:rsidR="004936A4" w:rsidRPr="00312020" w:rsidRDefault="00312020" w:rsidP="00312020">
      <w:pPr>
        <w:pStyle w:val="Heading1"/>
      </w:pPr>
      <w:r w:rsidRPr="00312020">
        <w:rPr>
          <w:rFonts w:eastAsia="Calibri"/>
          <w:b/>
          <w:bCs/>
          <w:color w:val="54A021" w:themeColor="accent2"/>
        </w:rPr>
        <w:t>II</w:t>
      </w:r>
      <w:r w:rsidR="003F0C5A">
        <w:rPr>
          <w:rFonts w:eastAsia="Calibri"/>
          <w:b/>
          <w:bCs/>
          <w:color w:val="54A021" w:themeColor="accent2"/>
        </w:rPr>
        <w:t>.</w:t>
      </w:r>
      <w:r w:rsidRPr="00312020">
        <w:rPr>
          <w:rFonts w:eastAsia="Calibri"/>
          <w:b/>
          <w:bCs/>
          <w:color w:val="54A021" w:themeColor="accent2"/>
        </w:rPr>
        <w:t xml:space="preserve"> </w:t>
      </w:r>
      <w:r w:rsidR="00D50E46" w:rsidRPr="00312020">
        <w:rPr>
          <w:rFonts w:eastAsia="Calibri"/>
          <w:b/>
          <w:bCs/>
          <w:color w:val="54A021" w:themeColor="accent2"/>
        </w:rPr>
        <w:t>ETAT DE RÉALISATION DES PROJETS ET PROGRAMMES</w:t>
      </w:r>
    </w:p>
    <w:p w14:paraId="0D089430" w14:textId="730F2E85" w:rsidR="00D55A8D" w:rsidRDefault="00D55A8D" w:rsidP="005550EC">
      <w:pPr>
        <w:spacing w:after="0" w:line="240" w:lineRule="auto"/>
        <w:jc w:val="both"/>
        <w:rPr>
          <w:rFonts w:ascii="Calibri" w:eastAsia="Calibri" w:hAnsi="Calibri" w:cs="Calibri"/>
          <w:i/>
          <w:iCs/>
          <w:sz w:val="24"/>
          <w:szCs w:val="24"/>
        </w:rPr>
      </w:pPr>
      <w:r w:rsidRPr="00D55A8D">
        <w:rPr>
          <w:rFonts w:ascii="Calibri" w:eastAsia="Calibri" w:hAnsi="Calibri" w:cs="Calibri"/>
          <w:i/>
          <w:iCs/>
          <w:sz w:val="24"/>
          <w:szCs w:val="24"/>
        </w:rPr>
        <w:t>L’évaluation concerne des projets à différents stades d’avancement : des projets achevés, des projets presque à terme et enfin des projets en début d’exécution dont la majorité relève du secteur de l’énergie et des transports.</w:t>
      </w:r>
    </w:p>
    <w:p w14:paraId="62AAE81F" w14:textId="77777777" w:rsidR="00D55A8D" w:rsidRPr="00D55A8D" w:rsidRDefault="00D55A8D" w:rsidP="005550EC">
      <w:pPr>
        <w:spacing w:after="0" w:line="240" w:lineRule="auto"/>
        <w:jc w:val="both"/>
        <w:rPr>
          <w:rFonts w:ascii="Calibri" w:eastAsia="Calibri" w:hAnsi="Calibri" w:cs="Calibri"/>
          <w:i/>
          <w:iCs/>
          <w:sz w:val="24"/>
          <w:szCs w:val="24"/>
        </w:rPr>
      </w:pPr>
    </w:p>
    <w:p w14:paraId="2E89C472" w14:textId="70EE25DF" w:rsidR="004936A4" w:rsidRDefault="0002754C" w:rsidP="005550EC">
      <w:pPr>
        <w:pStyle w:val="Heading2"/>
        <w:rPr>
          <w:rFonts w:eastAsia="Calibri"/>
        </w:rPr>
      </w:pPr>
      <w:r>
        <w:rPr>
          <w:rFonts w:eastAsia="Calibri"/>
        </w:rPr>
        <w:lastRenderedPageBreak/>
        <w:t>II.1</w:t>
      </w:r>
      <w:r w:rsidR="00C03A01">
        <w:rPr>
          <w:rFonts w:eastAsia="Calibri"/>
        </w:rPr>
        <w:t>.</w:t>
      </w:r>
      <w:r>
        <w:rPr>
          <w:rFonts w:eastAsia="Calibri"/>
        </w:rPr>
        <w:t xml:space="preserve"> Domaine environnement et ressources animales</w:t>
      </w:r>
    </w:p>
    <w:p w14:paraId="029C1E67" w14:textId="084D5B3D" w:rsidR="005A0DCC" w:rsidRDefault="005A0DCC" w:rsidP="005E1D44">
      <w:pPr>
        <w:spacing w:after="0"/>
        <w:rPr>
          <w:rFonts w:ascii="Calibri" w:eastAsia="Calibri" w:hAnsi="Calibri" w:cs="Calibri"/>
          <w:b/>
          <w:i/>
          <w:color w:val="90C226" w:themeColor="accent1"/>
          <w:sz w:val="24"/>
          <w:szCs w:val="24"/>
        </w:rPr>
      </w:pPr>
    </w:p>
    <w:p w14:paraId="7F13220E" w14:textId="77777777" w:rsidR="004E4834" w:rsidRPr="00D50E46" w:rsidRDefault="004E4834" w:rsidP="00652C3B">
      <w:pPr>
        <w:spacing w:after="0"/>
        <w:jc w:val="both"/>
        <w:rPr>
          <w:rFonts w:ascii="Calibri" w:eastAsia="Calibri" w:hAnsi="Calibri" w:cs="Calibri"/>
          <w:b/>
          <w:i/>
          <w:color w:val="90C226" w:themeColor="accent1"/>
          <w:sz w:val="24"/>
          <w:szCs w:val="24"/>
        </w:rPr>
      </w:pPr>
      <w:bookmarkStart w:id="4" w:name="_Hlk171116304"/>
      <w:r w:rsidRPr="00D50E46">
        <w:rPr>
          <w:rFonts w:ascii="Calibri" w:eastAsia="Calibri" w:hAnsi="Calibri" w:cs="Calibri"/>
          <w:b/>
          <w:i/>
          <w:color w:val="90C226" w:themeColor="accent1"/>
          <w:sz w:val="24"/>
          <w:szCs w:val="24"/>
        </w:rPr>
        <w:t>Des projets pour un co</w:t>
      </w:r>
      <w:r w:rsidRPr="005E1D44">
        <w:rPr>
          <w:rFonts w:ascii="Calibri" w:eastAsia="Calibri" w:hAnsi="Calibri" w:cs="Calibri"/>
          <w:b/>
          <w:i/>
          <w:color w:val="90C226" w:themeColor="accent1"/>
          <w:sz w:val="24"/>
          <w:szCs w:val="24"/>
        </w:rPr>
        <w:t>û</w:t>
      </w:r>
      <w:r w:rsidRPr="00D50E46">
        <w:rPr>
          <w:rFonts w:ascii="Calibri" w:eastAsia="Calibri" w:hAnsi="Calibri" w:cs="Calibri"/>
          <w:b/>
          <w:i/>
          <w:color w:val="90C226" w:themeColor="accent1"/>
          <w:sz w:val="24"/>
          <w:szCs w:val="24"/>
        </w:rPr>
        <w:t xml:space="preserve">t total de </w:t>
      </w:r>
      <w:r>
        <w:rPr>
          <w:rFonts w:ascii="Calibri" w:eastAsia="Calibri" w:hAnsi="Calibri" w:cs="Calibri"/>
          <w:b/>
          <w:i/>
          <w:color w:val="90C226" w:themeColor="accent1"/>
          <w:sz w:val="24"/>
          <w:szCs w:val="24"/>
        </w:rPr>
        <w:t>1</w:t>
      </w:r>
      <w:r w:rsidRPr="00D50E46">
        <w:rPr>
          <w:rFonts w:ascii="Calibri" w:eastAsia="Calibri" w:hAnsi="Calibri" w:cs="Calibri"/>
          <w:b/>
          <w:i/>
          <w:color w:val="90C226" w:themeColor="accent1"/>
          <w:sz w:val="24"/>
          <w:szCs w:val="24"/>
        </w:rPr>
        <w:t>7</w:t>
      </w:r>
      <w:r>
        <w:rPr>
          <w:rFonts w:ascii="Calibri" w:eastAsia="Calibri" w:hAnsi="Calibri" w:cs="Calibri"/>
          <w:b/>
          <w:i/>
          <w:color w:val="90C226" w:themeColor="accent1"/>
          <w:sz w:val="24"/>
          <w:szCs w:val="24"/>
        </w:rPr>
        <w:t>1</w:t>
      </w:r>
      <w:r w:rsidRPr="00D50E46">
        <w:rPr>
          <w:rFonts w:ascii="Calibri" w:eastAsia="Calibri" w:hAnsi="Calibri" w:cs="Calibri"/>
          <w:b/>
          <w:i/>
          <w:color w:val="90C226" w:themeColor="accent1"/>
          <w:sz w:val="24"/>
          <w:szCs w:val="24"/>
        </w:rPr>
        <w:t xml:space="preserve"> </w:t>
      </w:r>
      <w:r>
        <w:rPr>
          <w:rFonts w:ascii="Calibri" w:eastAsia="Calibri" w:hAnsi="Calibri" w:cs="Calibri"/>
          <w:b/>
          <w:i/>
          <w:color w:val="90C226" w:themeColor="accent1"/>
          <w:sz w:val="24"/>
          <w:szCs w:val="24"/>
        </w:rPr>
        <w:t>b</w:t>
      </w:r>
      <w:r w:rsidRPr="00D50E46">
        <w:rPr>
          <w:rFonts w:ascii="Calibri" w:eastAsia="Calibri" w:hAnsi="Calibri" w:cs="Calibri"/>
          <w:b/>
          <w:i/>
          <w:color w:val="90C226" w:themeColor="accent1"/>
          <w:sz w:val="24"/>
          <w:szCs w:val="24"/>
        </w:rPr>
        <w:t>FCFA :</w:t>
      </w:r>
      <w:r>
        <w:rPr>
          <w:rFonts w:ascii="Calibri" w:eastAsia="Calibri" w:hAnsi="Calibri" w:cs="Calibri"/>
          <w:b/>
          <w:i/>
          <w:color w:val="90C226" w:themeColor="accent1"/>
          <w:sz w:val="24"/>
          <w:szCs w:val="24"/>
        </w:rPr>
        <w:t xml:space="preserve"> </w:t>
      </w:r>
      <w:r>
        <w:rPr>
          <w:rFonts w:ascii="Calibri" w:eastAsia="Calibri" w:hAnsi="Calibri" w:cs="Calibri"/>
          <w:sz w:val="24"/>
          <w:szCs w:val="24"/>
        </w:rPr>
        <w:t xml:space="preserve">Le cumul des budgets des projets des deux sous-secteurs (environnement &amp; ressource naturelle) dont les données ont pu être obtenues s’élève à </w:t>
      </w:r>
      <w:r w:rsidRPr="005E1D44">
        <w:rPr>
          <w:rFonts w:ascii="Calibri" w:eastAsia="Calibri" w:hAnsi="Calibri" w:cs="Calibri"/>
          <w:b/>
          <w:bCs/>
          <w:sz w:val="24"/>
          <w:szCs w:val="24"/>
        </w:rPr>
        <w:t xml:space="preserve">171 907 000 000 FCFA </w:t>
      </w:r>
      <w:r>
        <w:rPr>
          <w:rFonts w:ascii="Calibri" w:eastAsia="Calibri" w:hAnsi="Calibri" w:cs="Calibri"/>
          <w:sz w:val="24"/>
          <w:szCs w:val="24"/>
        </w:rPr>
        <w:t xml:space="preserve">avec une moyenne de </w:t>
      </w:r>
      <w:r w:rsidRPr="005E1D44">
        <w:rPr>
          <w:rFonts w:ascii="Calibri" w:eastAsia="Calibri" w:hAnsi="Calibri" w:cs="Calibri"/>
          <w:b/>
          <w:bCs/>
          <w:sz w:val="24"/>
          <w:szCs w:val="24"/>
        </w:rPr>
        <w:t>6 366 937 000 CFA</w:t>
      </w:r>
      <w:r>
        <w:rPr>
          <w:rFonts w:ascii="Calibri" w:eastAsia="Calibri" w:hAnsi="Calibri" w:cs="Calibri"/>
          <w:sz w:val="24"/>
          <w:szCs w:val="24"/>
        </w:rPr>
        <w:t xml:space="preserve"> par projet.</w:t>
      </w:r>
    </w:p>
    <w:bookmarkEnd w:id="4"/>
    <w:p w14:paraId="49DCF767" w14:textId="77777777" w:rsidR="00EF153E" w:rsidRDefault="00EF153E" w:rsidP="005E1D44">
      <w:pPr>
        <w:spacing w:after="0"/>
        <w:rPr>
          <w:rFonts w:ascii="Calibri" w:eastAsia="Calibri" w:hAnsi="Calibri" w:cs="Calibri"/>
          <w:b/>
          <w:i/>
          <w:color w:val="90C226" w:themeColor="accent1"/>
          <w:sz w:val="24"/>
          <w:szCs w:val="24"/>
        </w:rPr>
      </w:pPr>
    </w:p>
    <w:p w14:paraId="62D38056" w14:textId="15827C08" w:rsidR="004936A4" w:rsidRDefault="00D50E46" w:rsidP="005E1D44">
      <w:pPr>
        <w:spacing w:after="0"/>
        <w:rPr>
          <w:rFonts w:ascii="Calibri" w:eastAsia="Calibri" w:hAnsi="Calibri" w:cs="Calibri"/>
          <w:sz w:val="24"/>
          <w:szCs w:val="24"/>
        </w:rPr>
      </w:pPr>
      <w:r w:rsidRPr="00D50E46">
        <w:rPr>
          <w:rFonts w:ascii="Calibri" w:eastAsia="Calibri" w:hAnsi="Calibri" w:cs="Calibri"/>
          <w:b/>
          <w:i/>
          <w:color w:val="90C226" w:themeColor="accent1"/>
          <w:sz w:val="24"/>
          <w:szCs w:val="24"/>
        </w:rPr>
        <w:t xml:space="preserve">La réalisation physique des projets est en moyenne à 78.4% alors que la réalisation financière est </w:t>
      </w:r>
      <w:r w:rsidR="00D55A8D" w:rsidRPr="00D50E46">
        <w:rPr>
          <w:rFonts w:ascii="Calibri" w:eastAsia="Calibri" w:hAnsi="Calibri" w:cs="Calibri"/>
          <w:b/>
          <w:i/>
          <w:color w:val="90C226" w:themeColor="accent1"/>
          <w:sz w:val="24"/>
          <w:szCs w:val="24"/>
        </w:rPr>
        <w:t>à</w:t>
      </w:r>
      <w:r w:rsidRPr="00D50E46">
        <w:rPr>
          <w:rFonts w:ascii="Calibri" w:eastAsia="Calibri" w:hAnsi="Calibri" w:cs="Calibri"/>
          <w:b/>
          <w:i/>
          <w:color w:val="90C226" w:themeColor="accent1"/>
          <w:sz w:val="24"/>
          <w:szCs w:val="24"/>
        </w:rPr>
        <w:t xml:space="preserve"> moins de 70% : </w:t>
      </w:r>
      <w:r>
        <w:rPr>
          <w:rFonts w:ascii="Calibri" w:eastAsia="Calibri" w:hAnsi="Calibri" w:cs="Calibri"/>
          <w:sz w:val="24"/>
          <w:szCs w:val="24"/>
        </w:rPr>
        <w:t xml:space="preserve">Les taux d’exécution physique et financière relevés </w:t>
      </w:r>
      <w:r w:rsidR="00D55A8D">
        <w:rPr>
          <w:rFonts w:ascii="Calibri" w:eastAsia="Calibri" w:hAnsi="Calibri" w:cs="Calibri"/>
          <w:sz w:val="24"/>
          <w:szCs w:val="24"/>
        </w:rPr>
        <w:t xml:space="preserve">varient </w:t>
      </w:r>
      <w:r>
        <w:rPr>
          <w:rFonts w:ascii="Calibri" w:eastAsia="Calibri" w:hAnsi="Calibri" w:cs="Calibri"/>
          <w:sz w:val="24"/>
          <w:szCs w:val="24"/>
        </w:rPr>
        <w:t>en fonction du stade d’exécution des projets</w:t>
      </w:r>
      <w:r w:rsidR="00D55A8D">
        <w:rPr>
          <w:rFonts w:ascii="Calibri" w:eastAsia="Calibri" w:hAnsi="Calibri" w:cs="Calibri"/>
          <w:sz w:val="24"/>
          <w:szCs w:val="24"/>
        </w:rPr>
        <w:t xml:space="preserve"> évalués</w:t>
      </w:r>
      <w:r>
        <w:rPr>
          <w:rFonts w:ascii="Calibri" w:eastAsia="Calibri" w:hAnsi="Calibri" w:cs="Calibri"/>
          <w:sz w:val="24"/>
          <w:szCs w:val="24"/>
        </w:rPr>
        <w:t xml:space="preserve">. </w:t>
      </w:r>
    </w:p>
    <w:p w14:paraId="66EF3EE1" w14:textId="70E7426B" w:rsidR="004936A4" w:rsidRDefault="0002754C" w:rsidP="005550EC">
      <w:pPr>
        <w:numPr>
          <w:ilvl w:val="0"/>
          <w:numId w:val="9"/>
        </w:numPr>
        <w:spacing w:after="0" w:line="240" w:lineRule="auto"/>
        <w:ind w:left="284" w:hanging="284"/>
        <w:jc w:val="both"/>
        <w:rPr>
          <w:rFonts w:ascii="Calibri" w:eastAsia="Calibri" w:hAnsi="Calibri" w:cs="Calibri"/>
          <w:sz w:val="24"/>
          <w:szCs w:val="24"/>
        </w:rPr>
      </w:pPr>
      <w:r>
        <w:rPr>
          <w:rFonts w:ascii="Calibri" w:eastAsia="Calibri" w:hAnsi="Calibri" w:cs="Calibri"/>
          <w:sz w:val="24"/>
          <w:szCs w:val="24"/>
        </w:rPr>
        <w:t>Les Taux de réalisation physiques (TRP) varient de 3</w:t>
      </w:r>
      <w:r w:rsidR="00271C92">
        <w:rPr>
          <w:rFonts w:ascii="Calibri" w:eastAsia="Calibri" w:hAnsi="Calibri" w:cs="Calibri"/>
          <w:sz w:val="24"/>
          <w:szCs w:val="24"/>
        </w:rPr>
        <w:t>%</w:t>
      </w:r>
      <w:r>
        <w:rPr>
          <w:rFonts w:ascii="Calibri" w:eastAsia="Calibri" w:hAnsi="Calibri" w:cs="Calibri"/>
          <w:sz w:val="24"/>
          <w:szCs w:val="24"/>
        </w:rPr>
        <w:t xml:space="preserve"> à plus de 100% avec une moyenne de 78,40%. Cela montre que les investissements prévus par ces projets et programmes ont été exécutés dans leur grande majorité. </w:t>
      </w:r>
    </w:p>
    <w:p w14:paraId="034C1D33" w14:textId="6C379514" w:rsidR="004936A4" w:rsidRDefault="0002754C" w:rsidP="005550EC">
      <w:pPr>
        <w:numPr>
          <w:ilvl w:val="0"/>
          <w:numId w:val="9"/>
        </w:numPr>
        <w:spacing w:after="0" w:line="240" w:lineRule="auto"/>
        <w:ind w:left="284" w:hanging="284"/>
        <w:jc w:val="both"/>
        <w:rPr>
          <w:rFonts w:ascii="Calibri" w:eastAsia="Calibri" w:hAnsi="Calibri" w:cs="Calibri"/>
          <w:sz w:val="24"/>
          <w:szCs w:val="24"/>
        </w:rPr>
      </w:pPr>
      <w:r>
        <w:rPr>
          <w:rFonts w:ascii="Calibri" w:eastAsia="Calibri" w:hAnsi="Calibri" w:cs="Calibri"/>
          <w:sz w:val="24"/>
          <w:szCs w:val="24"/>
        </w:rPr>
        <w:t>Les taux d’exécution financière varient de 2</w:t>
      </w:r>
      <w:r w:rsidR="00271C92">
        <w:rPr>
          <w:rFonts w:ascii="Calibri" w:eastAsia="Calibri" w:hAnsi="Calibri" w:cs="Calibri"/>
          <w:sz w:val="24"/>
          <w:szCs w:val="24"/>
        </w:rPr>
        <w:t>%</w:t>
      </w:r>
      <w:r>
        <w:rPr>
          <w:rFonts w:ascii="Calibri" w:eastAsia="Calibri" w:hAnsi="Calibri" w:cs="Calibri"/>
          <w:sz w:val="24"/>
          <w:szCs w:val="24"/>
        </w:rPr>
        <w:t xml:space="preserve"> à 100% avec une moyenne de 69,37%. </w:t>
      </w:r>
    </w:p>
    <w:p w14:paraId="2F17866E" w14:textId="77777777" w:rsidR="005E1D44" w:rsidRDefault="005E1D44" w:rsidP="005550EC">
      <w:pPr>
        <w:spacing w:after="0"/>
        <w:rPr>
          <w:rFonts w:ascii="Calibri" w:eastAsia="Calibri" w:hAnsi="Calibri" w:cs="Calibri"/>
          <w:b/>
          <w:i/>
          <w:color w:val="90C226" w:themeColor="accent1"/>
          <w:sz w:val="24"/>
          <w:szCs w:val="24"/>
        </w:rPr>
      </w:pPr>
    </w:p>
    <w:p w14:paraId="7CFA6BE9" w14:textId="5961817C" w:rsidR="00D55A8D" w:rsidRDefault="0002754C" w:rsidP="00B47720">
      <w:pPr>
        <w:spacing w:after="0"/>
        <w:jc w:val="both"/>
        <w:rPr>
          <w:rFonts w:ascii="Calibri" w:eastAsia="Calibri" w:hAnsi="Calibri" w:cs="Calibri"/>
          <w:sz w:val="24"/>
          <w:szCs w:val="24"/>
        </w:rPr>
      </w:pPr>
      <w:r w:rsidRPr="00D55A8D">
        <w:rPr>
          <w:rFonts w:ascii="Calibri" w:eastAsia="Calibri" w:hAnsi="Calibri" w:cs="Calibri"/>
          <w:b/>
          <w:i/>
          <w:color w:val="90C226" w:themeColor="accent1"/>
          <w:sz w:val="24"/>
          <w:szCs w:val="24"/>
        </w:rPr>
        <w:t xml:space="preserve">1 129 318 personnes </w:t>
      </w:r>
      <w:r w:rsidR="00D55A8D" w:rsidRPr="00D55A8D">
        <w:rPr>
          <w:rFonts w:ascii="Calibri" w:eastAsia="Calibri" w:hAnsi="Calibri" w:cs="Calibri"/>
          <w:b/>
          <w:i/>
          <w:color w:val="90C226" w:themeColor="accent1"/>
          <w:sz w:val="24"/>
          <w:szCs w:val="24"/>
        </w:rPr>
        <w:t>ont bénéficié des projets évalués, dont 17,13% seulement sont des femmes</w:t>
      </w:r>
      <w:r w:rsidR="00D55A8D">
        <w:rPr>
          <w:rFonts w:ascii="Calibri" w:eastAsia="Calibri" w:hAnsi="Calibri" w:cs="Calibri"/>
          <w:b/>
          <w:i/>
          <w:color w:val="90C226" w:themeColor="accent1"/>
          <w:sz w:val="24"/>
          <w:szCs w:val="24"/>
        </w:rPr>
        <w:t> :</w:t>
      </w:r>
      <w:r w:rsidR="00D55A8D" w:rsidRPr="00D55A8D">
        <w:rPr>
          <w:rFonts w:ascii="Calibri" w:eastAsia="Calibri" w:hAnsi="Calibri" w:cs="Calibri"/>
          <w:b/>
          <w:i/>
          <w:color w:val="90C226" w:themeColor="accent1"/>
          <w:sz w:val="24"/>
          <w:szCs w:val="24"/>
        </w:rPr>
        <w:t xml:space="preserve"> </w:t>
      </w:r>
      <w:r w:rsidR="00B47720">
        <w:rPr>
          <w:rFonts w:ascii="Calibri" w:eastAsia="Calibri" w:hAnsi="Calibri" w:cs="Calibri"/>
          <w:sz w:val="24"/>
          <w:szCs w:val="24"/>
        </w:rPr>
        <w:t>L</w:t>
      </w:r>
      <w:r w:rsidR="00D55A8D">
        <w:rPr>
          <w:rFonts w:ascii="Calibri" w:eastAsia="Calibri" w:hAnsi="Calibri" w:cs="Calibri"/>
          <w:sz w:val="24"/>
          <w:szCs w:val="24"/>
        </w:rPr>
        <w:t xml:space="preserve">es rapports exploités ne mentionnent pas toujours le nombre de bénéficiaires et leur désagrégation par genre </w:t>
      </w:r>
      <w:r w:rsidR="005204D2">
        <w:rPr>
          <w:rFonts w:ascii="Calibri" w:eastAsia="Calibri" w:hAnsi="Calibri" w:cs="Calibri"/>
          <w:sz w:val="24"/>
          <w:szCs w:val="24"/>
        </w:rPr>
        <w:t>n</w:t>
      </w:r>
      <w:r w:rsidR="005550EC">
        <w:rPr>
          <w:rFonts w:ascii="Calibri" w:eastAsia="Calibri" w:hAnsi="Calibri" w:cs="Calibri"/>
          <w:sz w:val="24"/>
          <w:szCs w:val="24"/>
        </w:rPr>
        <w:t>’</w:t>
      </w:r>
      <w:r w:rsidR="005204D2">
        <w:rPr>
          <w:rFonts w:ascii="Calibri" w:eastAsia="Calibri" w:hAnsi="Calibri" w:cs="Calibri"/>
          <w:sz w:val="24"/>
          <w:szCs w:val="24"/>
        </w:rPr>
        <w:t>est pas systématiquement réalisée</w:t>
      </w:r>
      <w:r w:rsidR="000D75F2">
        <w:rPr>
          <w:rFonts w:ascii="Calibri" w:eastAsia="Calibri" w:hAnsi="Calibri" w:cs="Calibri"/>
          <w:sz w:val="24"/>
          <w:szCs w:val="24"/>
        </w:rPr>
        <w:t>.</w:t>
      </w:r>
    </w:p>
    <w:p w14:paraId="5D9B4E27" w14:textId="77777777" w:rsidR="005550EC" w:rsidRPr="00D55A8D" w:rsidRDefault="005550EC" w:rsidP="00D55A8D">
      <w:pPr>
        <w:spacing w:after="0"/>
        <w:rPr>
          <w:rFonts w:ascii="Calibri" w:eastAsia="Calibri" w:hAnsi="Calibri" w:cs="Calibri"/>
          <w:b/>
          <w:i/>
          <w:color w:val="90C226" w:themeColor="accent1"/>
          <w:sz w:val="24"/>
          <w:szCs w:val="24"/>
        </w:rPr>
      </w:pPr>
    </w:p>
    <w:p w14:paraId="67BF8C5B" w14:textId="65676D89" w:rsidR="005E1D44" w:rsidRPr="00793D34" w:rsidRDefault="0002754C" w:rsidP="00793D34">
      <w:pPr>
        <w:pStyle w:val="Heading2"/>
        <w:rPr>
          <w:rFonts w:eastAsia="Calibri"/>
        </w:rPr>
      </w:pPr>
      <w:r w:rsidRPr="005E1D44">
        <w:rPr>
          <w:rFonts w:eastAsia="Calibri"/>
        </w:rPr>
        <w:t xml:space="preserve">II.2. Domaine </w:t>
      </w:r>
      <w:r w:rsidR="009C3314">
        <w:rPr>
          <w:rFonts w:eastAsia="Calibri"/>
        </w:rPr>
        <w:t>a</w:t>
      </w:r>
      <w:r w:rsidRPr="005E1D44">
        <w:rPr>
          <w:rFonts w:eastAsia="Calibri"/>
        </w:rPr>
        <w:t>griculture et ressource</w:t>
      </w:r>
      <w:r w:rsidR="005E1D44">
        <w:rPr>
          <w:rFonts w:eastAsia="Calibri"/>
        </w:rPr>
        <w:t>s</w:t>
      </w:r>
      <w:r w:rsidRPr="005E1D44">
        <w:rPr>
          <w:rFonts w:eastAsia="Calibri"/>
        </w:rPr>
        <w:t xml:space="preserve"> en eau </w:t>
      </w:r>
    </w:p>
    <w:p w14:paraId="0001AB80" w14:textId="3333E543" w:rsidR="004936A4" w:rsidRPr="005E1D44" w:rsidRDefault="0002754C">
      <w:pPr>
        <w:spacing w:line="240" w:lineRule="auto"/>
        <w:jc w:val="both"/>
        <w:rPr>
          <w:rFonts w:ascii="Calibri" w:eastAsia="Calibri" w:hAnsi="Calibri" w:cs="Calibri"/>
          <w:i/>
          <w:iCs/>
          <w:sz w:val="24"/>
          <w:szCs w:val="24"/>
        </w:rPr>
      </w:pPr>
      <w:r w:rsidRPr="005E1D44">
        <w:rPr>
          <w:rFonts w:ascii="Calibri" w:eastAsia="Calibri" w:hAnsi="Calibri" w:cs="Calibri"/>
          <w:i/>
          <w:iCs/>
          <w:sz w:val="24"/>
          <w:szCs w:val="24"/>
        </w:rPr>
        <w:t>Les résultats des investigations ont permis d’identifier et d’évaluer une trentaine de projets dans le domaine agricole et de l’eau.</w:t>
      </w:r>
      <w:r w:rsidR="005E1D44" w:rsidRPr="005E1D44">
        <w:rPr>
          <w:rFonts w:ascii="Calibri" w:eastAsia="Calibri" w:hAnsi="Calibri" w:cs="Calibri"/>
          <w:i/>
          <w:iCs/>
          <w:sz w:val="24"/>
          <w:szCs w:val="24"/>
        </w:rPr>
        <w:t xml:space="preserve"> </w:t>
      </w:r>
      <w:r w:rsidRPr="005E1D44">
        <w:rPr>
          <w:rFonts w:ascii="Calibri" w:eastAsia="Calibri" w:hAnsi="Calibri" w:cs="Calibri"/>
          <w:i/>
          <w:iCs/>
          <w:sz w:val="24"/>
          <w:szCs w:val="24"/>
        </w:rPr>
        <w:t xml:space="preserve">Ces projets couvrent les aménagements hydroagricoles, la récupération des terres dégradées, la promotion des techniques </w:t>
      </w:r>
      <w:r w:rsidRPr="0045179B">
        <w:rPr>
          <w:rFonts w:ascii="Calibri" w:eastAsia="Calibri" w:hAnsi="Calibri" w:cs="Calibri"/>
          <w:i/>
          <w:iCs/>
          <w:sz w:val="24"/>
          <w:szCs w:val="24"/>
        </w:rPr>
        <w:t xml:space="preserve">de conservation des eaux et des sols, la promotion des </w:t>
      </w:r>
      <w:r w:rsidR="0045179B" w:rsidRPr="007775D2">
        <w:rPr>
          <w:rFonts w:ascii="Calibri" w:hAnsi="Calibri" w:cs="Calibri"/>
          <w:i/>
          <w:iCs/>
          <w:sz w:val="24"/>
          <w:szCs w:val="24"/>
        </w:rPr>
        <w:t>Produits Forestiers non Ligneux</w:t>
      </w:r>
      <w:r w:rsidR="0045179B" w:rsidRPr="007775D2">
        <w:rPr>
          <w:rFonts w:ascii="Calibri" w:eastAsia="Calibri" w:hAnsi="Calibri" w:cs="Calibri"/>
          <w:i/>
          <w:iCs/>
          <w:sz w:val="24"/>
          <w:szCs w:val="24"/>
        </w:rPr>
        <w:t xml:space="preserve"> </w:t>
      </w:r>
      <w:r w:rsidR="0045179B" w:rsidRPr="00E4481A">
        <w:rPr>
          <w:rFonts w:ascii="Calibri" w:eastAsia="Calibri" w:hAnsi="Calibri" w:cs="Calibri"/>
          <w:i/>
          <w:iCs/>
          <w:sz w:val="24"/>
          <w:szCs w:val="24"/>
        </w:rPr>
        <w:t>(</w:t>
      </w:r>
      <w:r w:rsidRPr="0045179B">
        <w:rPr>
          <w:rFonts w:ascii="Calibri" w:eastAsia="Calibri" w:hAnsi="Calibri" w:cs="Calibri"/>
          <w:i/>
          <w:iCs/>
          <w:sz w:val="24"/>
          <w:szCs w:val="24"/>
        </w:rPr>
        <w:t>PFNL</w:t>
      </w:r>
      <w:r w:rsidR="0045179B" w:rsidRPr="0045179B">
        <w:rPr>
          <w:rFonts w:ascii="Calibri" w:eastAsia="Calibri" w:hAnsi="Calibri" w:cs="Calibri"/>
          <w:i/>
          <w:iCs/>
          <w:sz w:val="24"/>
          <w:szCs w:val="24"/>
        </w:rPr>
        <w:t>)</w:t>
      </w:r>
      <w:r w:rsidRPr="005E1D44">
        <w:rPr>
          <w:rFonts w:ascii="Calibri" w:eastAsia="Calibri" w:hAnsi="Calibri" w:cs="Calibri"/>
          <w:i/>
          <w:iCs/>
          <w:sz w:val="24"/>
          <w:szCs w:val="24"/>
        </w:rPr>
        <w:t xml:space="preserve"> et enfin le renforcement des capacités des acteurs à la gestion et </w:t>
      </w:r>
      <w:r w:rsidR="005E1D44" w:rsidRPr="005E1D44">
        <w:rPr>
          <w:rFonts w:ascii="Calibri" w:eastAsia="Calibri" w:hAnsi="Calibri" w:cs="Calibri"/>
          <w:i/>
          <w:iCs/>
          <w:sz w:val="24"/>
          <w:szCs w:val="24"/>
        </w:rPr>
        <w:t xml:space="preserve">à la </w:t>
      </w:r>
      <w:r w:rsidRPr="005E1D44">
        <w:rPr>
          <w:rFonts w:ascii="Calibri" w:eastAsia="Calibri" w:hAnsi="Calibri" w:cs="Calibri"/>
          <w:i/>
          <w:iCs/>
          <w:sz w:val="24"/>
          <w:szCs w:val="24"/>
        </w:rPr>
        <w:t>planification locale du développement, à la résilience,</w:t>
      </w:r>
      <w:r w:rsidR="005204D2">
        <w:rPr>
          <w:rFonts w:ascii="Calibri" w:eastAsia="Calibri" w:hAnsi="Calibri" w:cs="Calibri"/>
          <w:i/>
          <w:iCs/>
          <w:sz w:val="24"/>
          <w:szCs w:val="24"/>
        </w:rPr>
        <w:t xml:space="preserve"> </w:t>
      </w:r>
      <w:r w:rsidR="005204D2" w:rsidRPr="005204D2">
        <w:rPr>
          <w:rFonts w:ascii="Calibri" w:eastAsia="Calibri" w:hAnsi="Calibri" w:cs="Calibri"/>
          <w:i/>
          <w:iCs/>
          <w:sz w:val="24"/>
          <w:szCs w:val="24"/>
        </w:rPr>
        <w:t>tenant compte des femmes et des hommes</w:t>
      </w:r>
      <w:r w:rsidR="005204D2">
        <w:rPr>
          <w:rFonts w:ascii="Calibri" w:eastAsia="Calibri" w:hAnsi="Calibri" w:cs="Calibri"/>
          <w:i/>
          <w:iCs/>
          <w:sz w:val="24"/>
          <w:szCs w:val="24"/>
        </w:rPr>
        <w:t>,</w:t>
      </w:r>
      <w:r w:rsidRPr="005E1D44">
        <w:rPr>
          <w:rFonts w:ascii="Calibri" w:eastAsia="Calibri" w:hAnsi="Calibri" w:cs="Calibri"/>
          <w:i/>
          <w:iCs/>
          <w:sz w:val="24"/>
          <w:szCs w:val="24"/>
        </w:rPr>
        <w:t xml:space="preserve"> etc. </w:t>
      </w:r>
    </w:p>
    <w:p w14:paraId="04E60F8A" w14:textId="31DBA355" w:rsidR="004936A4" w:rsidRDefault="005E1D44">
      <w:pPr>
        <w:spacing w:line="240" w:lineRule="auto"/>
        <w:jc w:val="both"/>
        <w:rPr>
          <w:rFonts w:ascii="Calibri" w:eastAsia="Calibri" w:hAnsi="Calibri" w:cs="Calibri"/>
          <w:sz w:val="24"/>
          <w:szCs w:val="24"/>
        </w:rPr>
      </w:pPr>
      <w:r w:rsidRPr="00D50E46">
        <w:rPr>
          <w:rFonts w:ascii="Calibri" w:eastAsia="Calibri" w:hAnsi="Calibri" w:cs="Calibri"/>
          <w:b/>
          <w:i/>
          <w:color w:val="90C226" w:themeColor="accent1"/>
          <w:sz w:val="24"/>
          <w:szCs w:val="24"/>
        </w:rPr>
        <w:t>Des projets pour un co</w:t>
      </w:r>
      <w:r w:rsidRPr="005E1D44">
        <w:rPr>
          <w:rFonts w:ascii="Calibri" w:eastAsia="Calibri" w:hAnsi="Calibri" w:cs="Calibri"/>
          <w:b/>
          <w:i/>
          <w:color w:val="90C226" w:themeColor="accent1"/>
          <w:sz w:val="24"/>
          <w:szCs w:val="24"/>
        </w:rPr>
        <w:t>û</w:t>
      </w:r>
      <w:r w:rsidRPr="00D50E46">
        <w:rPr>
          <w:rFonts w:ascii="Calibri" w:eastAsia="Calibri" w:hAnsi="Calibri" w:cs="Calibri"/>
          <w:b/>
          <w:i/>
          <w:color w:val="90C226" w:themeColor="accent1"/>
          <w:sz w:val="24"/>
          <w:szCs w:val="24"/>
        </w:rPr>
        <w:t xml:space="preserve">t total de </w:t>
      </w:r>
      <w:r>
        <w:rPr>
          <w:rFonts w:ascii="Calibri" w:eastAsia="Calibri" w:hAnsi="Calibri" w:cs="Calibri"/>
          <w:b/>
          <w:i/>
          <w:color w:val="90C226" w:themeColor="accent1"/>
          <w:sz w:val="24"/>
          <w:szCs w:val="24"/>
        </w:rPr>
        <w:t>plus d’un</w:t>
      </w:r>
      <w:r w:rsidRPr="00D50E46">
        <w:rPr>
          <w:rFonts w:ascii="Calibri" w:eastAsia="Calibri" w:hAnsi="Calibri" w:cs="Calibri"/>
          <w:b/>
          <w:i/>
          <w:color w:val="90C226" w:themeColor="accent1"/>
          <w:sz w:val="24"/>
          <w:szCs w:val="24"/>
        </w:rPr>
        <w:t xml:space="preserve"> </w:t>
      </w:r>
      <w:r>
        <w:rPr>
          <w:rFonts w:ascii="Calibri" w:eastAsia="Calibri" w:hAnsi="Calibri" w:cs="Calibri"/>
          <w:b/>
          <w:i/>
          <w:color w:val="90C226" w:themeColor="accent1"/>
          <w:sz w:val="24"/>
          <w:szCs w:val="24"/>
        </w:rPr>
        <w:t xml:space="preserve">billiard de </w:t>
      </w:r>
      <w:r w:rsidRPr="00D50E46">
        <w:rPr>
          <w:rFonts w:ascii="Calibri" w:eastAsia="Calibri" w:hAnsi="Calibri" w:cs="Calibri"/>
          <w:b/>
          <w:i/>
          <w:color w:val="90C226" w:themeColor="accent1"/>
          <w:sz w:val="24"/>
          <w:szCs w:val="24"/>
        </w:rPr>
        <w:t>FCFA</w:t>
      </w:r>
      <w:r>
        <w:rPr>
          <w:rFonts w:ascii="Calibri" w:eastAsia="Calibri" w:hAnsi="Calibri" w:cs="Calibri"/>
          <w:b/>
          <w:i/>
          <w:color w:val="90C226" w:themeColor="accent1"/>
          <w:sz w:val="24"/>
          <w:szCs w:val="24"/>
        </w:rPr>
        <w:t> </w:t>
      </w:r>
      <w:r>
        <w:rPr>
          <w:rFonts w:ascii="Calibri" w:eastAsia="Calibri" w:hAnsi="Calibri" w:cs="Calibri"/>
          <w:sz w:val="24"/>
          <w:szCs w:val="24"/>
        </w:rPr>
        <w:t xml:space="preserve">: Le cumul des budgets prévisionnels des 30 projets des secteurs de l’agriculture et de l’eau s’élève à </w:t>
      </w:r>
      <w:r w:rsidRPr="005E1D44">
        <w:rPr>
          <w:rFonts w:ascii="Calibri" w:eastAsia="Calibri" w:hAnsi="Calibri" w:cs="Calibri"/>
          <w:b/>
          <w:bCs/>
          <w:sz w:val="24"/>
          <w:szCs w:val="24"/>
        </w:rPr>
        <w:t>1,023 billiards de FCFA</w:t>
      </w:r>
      <w:r>
        <w:rPr>
          <w:rFonts w:ascii="Calibri" w:eastAsia="Calibri" w:hAnsi="Calibri" w:cs="Calibri"/>
          <w:sz w:val="24"/>
          <w:szCs w:val="24"/>
        </w:rPr>
        <w:t xml:space="preserve"> entre 2014 et 2020 soit en moyenne </w:t>
      </w:r>
      <w:r w:rsidRPr="005E1D44">
        <w:rPr>
          <w:rFonts w:ascii="Calibri" w:eastAsia="Calibri" w:hAnsi="Calibri" w:cs="Calibri"/>
          <w:b/>
          <w:bCs/>
          <w:sz w:val="24"/>
          <w:szCs w:val="24"/>
        </w:rPr>
        <w:t>34,1 milliards de FCFA par projets</w:t>
      </w:r>
      <w:r w:rsidR="00271C92">
        <w:rPr>
          <w:rFonts w:ascii="Calibri" w:eastAsia="Calibri" w:hAnsi="Calibri" w:cs="Calibri"/>
          <w:b/>
          <w:bCs/>
          <w:sz w:val="24"/>
          <w:szCs w:val="24"/>
        </w:rPr>
        <w:t>.</w:t>
      </w:r>
      <w:r>
        <w:rPr>
          <w:rFonts w:ascii="Calibri" w:eastAsia="Calibri" w:hAnsi="Calibri" w:cs="Calibri"/>
          <w:sz w:val="24"/>
          <w:szCs w:val="24"/>
        </w:rPr>
        <w:t xml:space="preserve"> </w:t>
      </w:r>
    </w:p>
    <w:p w14:paraId="6A120B0D" w14:textId="3121EC56" w:rsidR="00793D34" w:rsidRDefault="00793D34" w:rsidP="00D276E7">
      <w:pPr>
        <w:spacing w:after="0" w:line="240" w:lineRule="auto"/>
        <w:jc w:val="both"/>
        <w:rPr>
          <w:rFonts w:ascii="Calibri" w:eastAsia="Calibri" w:hAnsi="Calibri" w:cs="Calibri"/>
          <w:sz w:val="24"/>
          <w:szCs w:val="24"/>
        </w:rPr>
      </w:pPr>
      <w:r w:rsidRPr="00793D34">
        <w:rPr>
          <w:rFonts w:ascii="Calibri" w:eastAsia="Calibri" w:hAnsi="Calibri" w:cs="Calibri"/>
          <w:b/>
          <w:i/>
          <w:color w:val="90C226" w:themeColor="accent1"/>
          <w:sz w:val="24"/>
          <w:szCs w:val="24"/>
        </w:rPr>
        <w:t>Le taux de réalisation physique est en moyenne de 67</w:t>
      </w:r>
      <w:r>
        <w:rPr>
          <w:rFonts w:ascii="Calibri" w:eastAsia="Calibri" w:hAnsi="Calibri" w:cs="Calibri"/>
          <w:b/>
          <w:i/>
          <w:color w:val="90C226" w:themeColor="accent1"/>
          <w:sz w:val="24"/>
          <w:szCs w:val="24"/>
        </w:rPr>
        <w:t>,</w:t>
      </w:r>
      <w:r w:rsidRPr="00793D34">
        <w:rPr>
          <w:rFonts w:ascii="Calibri" w:eastAsia="Calibri" w:hAnsi="Calibri" w:cs="Calibri"/>
          <w:b/>
          <w:i/>
          <w:color w:val="90C226" w:themeColor="accent1"/>
          <w:sz w:val="24"/>
          <w:szCs w:val="24"/>
        </w:rPr>
        <w:t xml:space="preserve">6% </w:t>
      </w:r>
      <w:r>
        <w:rPr>
          <w:rFonts w:ascii="Calibri" w:eastAsia="Calibri" w:hAnsi="Calibri" w:cs="Calibri"/>
          <w:b/>
          <w:i/>
          <w:color w:val="90C226" w:themeColor="accent1"/>
          <w:sz w:val="24"/>
          <w:szCs w:val="24"/>
        </w:rPr>
        <w:t>et l</w:t>
      </w:r>
      <w:r w:rsidRPr="00793D34">
        <w:rPr>
          <w:rFonts w:ascii="Calibri" w:eastAsia="Calibri" w:hAnsi="Calibri" w:cs="Calibri"/>
          <w:b/>
          <w:i/>
          <w:color w:val="90C226" w:themeColor="accent1"/>
          <w:sz w:val="24"/>
          <w:szCs w:val="24"/>
        </w:rPr>
        <w:t xml:space="preserve">e taux d’exécution financière est </w:t>
      </w:r>
      <w:r>
        <w:rPr>
          <w:rFonts w:ascii="Calibri" w:eastAsia="Calibri" w:hAnsi="Calibri" w:cs="Calibri"/>
          <w:b/>
          <w:i/>
          <w:color w:val="90C226" w:themeColor="accent1"/>
          <w:sz w:val="24"/>
          <w:szCs w:val="24"/>
        </w:rPr>
        <w:t xml:space="preserve">en moyenne à </w:t>
      </w:r>
      <w:r w:rsidRPr="00793D34">
        <w:rPr>
          <w:rFonts w:ascii="Calibri" w:eastAsia="Calibri" w:hAnsi="Calibri" w:cs="Calibri"/>
          <w:b/>
          <w:i/>
          <w:color w:val="90C226" w:themeColor="accent1"/>
          <w:sz w:val="24"/>
          <w:szCs w:val="24"/>
        </w:rPr>
        <w:t>66,6%</w:t>
      </w:r>
      <w:r w:rsidR="00AC3F39">
        <w:rPr>
          <w:rFonts w:ascii="Calibri" w:eastAsia="Calibri" w:hAnsi="Calibri" w:cs="Calibri"/>
          <w:b/>
          <w:i/>
          <w:color w:val="90C226" w:themeColor="accent1"/>
          <w:sz w:val="24"/>
          <w:szCs w:val="24"/>
        </w:rPr>
        <w:t xml:space="preserve"> </w:t>
      </w:r>
      <w:r w:rsidRPr="00D50E46">
        <w:rPr>
          <w:rFonts w:ascii="Calibri" w:eastAsia="Calibri" w:hAnsi="Calibri" w:cs="Calibri"/>
          <w:b/>
          <w:i/>
          <w:color w:val="90C226" w:themeColor="accent1"/>
          <w:sz w:val="24"/>
          <w:szCs w:val="24"/>
        </w:rPr>
        <w:t xml:space="preserve">: </w:t>
      </w:r>
      <w:r>
        <w:rPr>
          <w:rFonts w:ascii="Calibri" w:eastAsia="Calibri" w:hAnsi="Calibri" w:cs="Calibri"/>
          <w:sz w:val="24"/>
          <w:szCs w:val="24"/>
        </w:rPr>
        <w:t xml:space="preserve">Les taux d’exécution physique et financière relevés varient en fonction du stade d’exécution des projets évalués. </w:t>
      </w:r>
    </w:p>
    <w:p w14:paraId="513EE004" w14:textId="7685D8F9" w:rsidR="00793D34" w:rsidRDefault="00793D34" w:rsidP="005550EC">
      <w:pPr>
        <w:numPr>
          <w:ilvl w:val="0"/>
          <w:numId w:val="9"/>
        </w:numPr>
        <w:spacing w:after="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Les Taux de réalisation physiques varient entre 33% et 100% avec une moyenne de 67,60%. </w:t>
      </w:r>
    </w:p>
    <w:p w14:paraId="7424E1AD" w14:textId="1821A3C0" w:rsidR="00793D34" w:rsidRDefault="00793D34" w:rsidP="005550EC">
      <w:pPr>
        <w:numPr>
          <w:ilvl w:val="0"/>
          <w:numId w:val="9"/>
        </w:numPr>
        <w:spacing w:after="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Les taux d’exécution financière varient entre 19.9% et 100% avec une moyenne de 66,6%. </w:t>
      </w:r>
    </w:p>
    <w:p w14:paraId="3D2EC2F4" w14:textId="77777777" w:rsidR="005550EC" w:rsidRDefault="005550EC" w:rsidP="00793D34">
      <w:pPr>
        <w:spacing w:after="0"/>
        <w:rPr>
          <w:rFonts w:ascii="Calibri" w:eastAsia="Calibri" w:hAnsi="Calibri" w:cs="Calibri"/>
          <w:b/>
          <w:i/>
          <w:color w:val="90C226" w:themeColor="accent1"/>
          <w:sz w:val="24"/>
          <w:szCs w:val="24"/>
        </w:rPr>
      </w:pPr>
    </w:p>
    <w:p w14:paraId="79593A48" w14:textId="6300CA68" w:rsidR="00F72DDE" w:rsidRDefault="00793D34" w:rsidP="00222A65">
      <w:pPr>
        <w:spacing w:after="0"/>
        <w:jc w:val="both"/>
        <w:rPr>
          <w:rFonts w:ascii="Calibri" w:eastAsia="Calibri" w:hAnsi="Calibri" w:cs="Calibri"/>
          <w:sz w:val="24"/>
          <w:szCs w:val="24"/>
        </w:rPr>
      </w:pPr>
      <w:r>
        <w:rPr>
          <w:rFonts w:ascii="Calibri" w:eastAsia="Calibri" w:hAnsi="Calibri" w:cs="Calibri"/>
          <w:b/>
          <w:i/>
          <w:color w:val="90C226" w:themeColor="accent1"/>
          <w:sz w:val="24"/>
          <w:szCs w:val="24"/>
        </w:rPr>
        <w:t xml:space="preserve">Environ un million </w:t>
      </w:r>
      <w:r w:rsidR="00BA17F5">
        <w:rPr>
          <w:rFonts w:ascii="Calibri" w:eastAsia="Calibri" w:hAnsi="Calibri" w:cs="Calibri"/>
          <w:b/>
          <w:i/>
          <w:color w:val="90C226" w:themeColor="accent1"/>
          <w:sz w:val="24"/>
          <w:szCs w:val="24"/>
        </w:rPr>
        <w:t xml:space="preserve">de </w:t>
      </w:r>
      <w:r>
        <w:rPr>
          <w:rFonts w:ascii="Calibri" w:eastAsia="Calibri" w:hAnsi="Calibri" w:cs="Calibri"/>
          <w:b/>
          <w:i/>
          <w:color w:val="90C226" w:themeColor="accent1"/>
          <w:sz w:val="24"/>
          <w:szCs w:val="24"/>
        </w:rPr>
        <w:t xml:space="preserve">bénéficiaires directs </w:t>
      </w:r>
      <w:r w:rsidRPr="00793D34">
        <w:rPr>
          <w:rFonts w:ascii="Calibri" w:eastAsia="Calibri" w:hAnsi="Calibri" w:cs="Calibri"/>
          <w:b/>
          <w:i/>
          <w:color w:val="90C226" w:themeColor="accent1"/>
          <w:sz w:val="24"/>
          <w:szCs w:val="24"/>
        </w:rPr>
        <w:t xml:space="preserve">des projets </w:t>
      </w:r>
      <w:r>
        <w:rPr>
          <w:rFonts w:ascii="Calibri" w:eastAsia="Calibri" w:hAnsi="Calibri" w:cs="Calibri"/>
          <w:b/>
          <w:i/>
          <w:color w:val="90C226" w:themeColor="accent1"/>
          <w:sz w:val="24"/>
          <w:szCs w:val="24"/>
        </w:rPr>
        <w:t>des</w:t>
      </w:r>
      <w:r w:rsidRPr="00793D34">
        <w:rPr>
          <w:rFonts w:ascii="Calibri" w:eastAsia="Calibri" w:hAnsi="Calibri" w:cs="Calibri"/>
          <w:b/>
          <w:i/>
          <w:color w:val="90C226" w:themeColor="accent1"/>
          <w:sz w:val="24"/>
          <w:szCs w:val="24"/>
        </w:rPr>
        <w:t xml:space="preserve"> secteurs de l’agriculture et de l’eau </w:t>
      </w:r>
      <w:r>
        <w:rPr>
          <w:rFonts w:ascii="Calibri" w:eastAsia="Calibri" w:hAnsi="Calibri" w:cs="Calibri"/>
          <w:b/>
          <w:i/>
          <w:color w:val="90C226" w:themeColor="accent1"/>
          <w:sz w:val="24"/>
          <w:szCs w:val="24"/>
        </w:rPr>
        <w:t>avec</w:t>
      </w:r>
      <w:r w:rsidRPr="00793D34">
        <w:rPr>
          <w:rFonts w:ascii="Calibri" w:eastAsia="Calibri" w:hAnsi="Calibri" w:cs="Calibri"/>
          <w:b/>
          <w:i/>
          <w:color w:val="90C226" w:themeColor="accent1"/>
          <w:sz w:val="24"/>
          <w:szCs w:val="24"/>
        </w:rPr>
        <w:t xml:space="preserve"> 17</w:t>
      </w:r>
      <w:r>
        <w:rPr>
          <w:rFonts w:ascii="Calibri" w:eastAsia="Calibri" w:hAnsi="Calibri" w:cs="Calibri"/>
          <w:b/>
          <w:i/>
          <w:color w:val="90C226" w:themeColor="accent1"/>
          <w:sz w:val="24"/>
          <w:szCs w:val="24"/>
        </w:rPr>
        <w:t>%</w:t>
      </w:r>
      <w:r w:rsidRPr="00793D34">
        <w:rPr>
          <w:rFonts w:ascii="Calibri" w:eastAsia="Calibri" w:hAnsi="Calibri" w:cs="Calibri"/>
          <w:b/>
          <w:i/>
          <w:color w:val="90C226" w:themeColor="accent1"/>
          <w:sz w:val="24"/>
          <w:szCs w:val="24"/>
        </w:rPr>
        <w:t xml:space="preserve"> </w:t>
      </w:r>
      <w:r>
        <w:rPr>
          <w:rFonts w:ascii="Calibri" w:eastAsia="Calibri" w:hAnsi="Calibri" w:cs="Calibri"/>
          <w:b/>
          <w:i/>
          <w:color w:val="90C226" w:themeColor="accent1"/>
          <w:sz w:val="24"/>
          <w:szCs w:val="24"/>
        </w:rPr>
        <w:t>à</w:t>
      </w:r>
      <w:r w:rsidRPr="00793D34">
        <w:rPr>
          <w:rFonts w:ascii="Calibri" w:eastAsia="Calibri" w:hAnsi="Calibri" w:cs="Calibri"/>
          <w:b/>
          <w:i/>
          <w:color w:val="90C226" w:themeColor="accent1"/>
          <w:sz w:val="24"/>
          <w:szCs w:val="24"/>
        </w:rPr>
        <w:t xml:space="preserve"> 50,5% de femmes </w:t>
      </w:r>
      <w:r w:rsidRPr="00793D34">
        <w:rPr>
          <w:rFonts w:ascii="Calibri" w:eastAsia="Calibri" w:hAnsi="Calibri" w:cs="Calibri"/>
          <w:bCs/>
          <w:i/>
          <w:color w:val="90C226" w:themeColor="accent1"/>
          <w:sz w:val="24"/>
          <w:szCs w:val="24"/>
        </w:rPr>
        <w:t>(selon les produits)</w:t>
      </w:r>
      <w:r w:rsidR="00B354D7">
        <w:rPr>
          <w:rFonts w:ascii="Calibri" w:eastAsia="Calibri" w:hAnsi="Calibri" w:cs="Calibri"/>
          <w:bCs/>
          <w:i/>
          <w:color w:val="90C226" w:themeColor="accent1"/>
          <w:sz w:val="24"/>
          <w:szCs w:val="24"/>
        </w:rPr>
        <w:t xml:space="preserve"> </w:t>
      </w:r>
      <w:r>
        <w:rPr>
          <w:rFonts w:ascii="Calibri" w:eastAsia="Calibri" w:hAnsi="Calibri" w:cs="Calibri"/>
          <w:b/>
          <w:i/>
          <w:color w:val="90C226" w:themeColor="accent1"/>
          <w:sz w:val="24"/>
          <w:szCs w:val="24"/>
        </w:rPr>
        <w:t>:</w:t>
      </w:r>
      <w:r w:rsidRPr="00D55A8D">
        <w:rPr>
          <w:rFonts w:ascii="Calibri" w:eastAsia="Calibri" w:hAnsi="Calibri" w:cs="Calibri"/>
          <w:b/>
          <w:i/>
          <w:color w:val="90C226" w:themeColor="accent1"/>
          <w:sz w:val="24"/>
          <w:szCs w:val="24"/>
        </w:rPr>
        <w:t xml:space="preserve"> </w:t>
      </w:r>
      <w:r w:rsidR="00222A65">
        <w:rPr>
          <w:rFonts w:ascii="Calibri" w:eastAsia="Calibri" w:hAnsi="Calibri" w:cs="Calibri"/>
          <w:sz w:val="24"/>
          <w:szCs w:val="24"/>
        </w:rPr>
        <w:t>L</w:t>
      </w:r>
      <w:r>
        <w:rPr>
          <w:rFonts w:ascii="Calibri" w:eastAsia="Calibri" w:hAnsi="Calibri" w:cs="Calibri"/>
          <w:sz w:val="24"/>
          <w:szCs w:val="24"/>
        </w:rPr>
        <w:t>es rapports exploités ne mentionnent pas toujours le nombre de bénéficiaires</w:t>
      </w:r>
      <w:r w:rsidR="005204D2">
        <w:rPr>
          <w:rFonts w:ascii="Calibri" w:eastAsia="Calibri" w:hAnsi="Calibri" w:cs="Calibri"/>
          <w:sz w:val="24"/>
          <w:szCs w:val="24"/>
        </w:rPr>
        <w:t xml:space="preserve"> (Hommes, femmes et jeunes) </w:t>
      </w:r>
      <w:r>
        <w:rPr>
          <w:rFonts w:ascii="Calibri" w:eastAsia="Calibri" w:hAnsi="Calibri" w:cs="Calibri"/>
          <w:sz w:val="24"/>
          <w:szCs w:val="24"/>
        </w:rPr>
        <w:t>et leur désagrégation par genre</w:t>
      </w:r>
      <w:r w:rsidR="00F72DDE">
        <w:rPr>
          <w:rFonts w:ascii="Calibri" w:eastAsia="Calibri" w:hAnsi="Calibri" w:cs="Calibri"/>
          <w:sz w:val="24"/>
          <w:szCs w:val="24"/>
        </w:rPr>
        <w:t>.</w:t>
      </w:r>
    </w:p>
    <w:p w14:paraId="4A151053" w14:textId="77EA7A0D" w:rsidR="00793D34" w:rsidRDefault="00793D34" w:rsidP="00793D34">
      <w:pPr>
        <w:spacing w:after="0"/>
        <w:rPr>
          <w:rFonts w:ascii="Calibri" w:eastAsia="Calibri" w:hAnsi="Calibri" w:cs="Calibri"/>
          <w:sz w:val="24"/>
          <w:szCs w:val="24"/>
        </w:rPr>
      </w:pPr>
      <w:r>
        <w:rPr>
          <w:rFonts w:ascii="Calibri" w:eastAsia="Calibri" w:hAnsi="Calibri" w:cs="Calibri"/>
          <w:sz w:val="24"/>
          <w:szCs w:val="24"/>
        </w:rPr>
        <w:t xml:space="preserve"> </w:t>
      </w:r>
    </w:p>
    <w:p w14:paraId="36561FC4" w14:textId="42D2FAE6" w:rsidR="004936A4" w:rsidRPr="00793D34" w:rsidRDefault="0002754C" w:rsidP="00793D34">
      <w:pPr>
        <w:pStyle w:val="Heading2"/>
        <w:rPr>
          <w:rFonts w:eastAsia="Calibri"/>
        </w:rPr>
      </w:pPr>
      <w:r w:rsidRPr="00793D34">
        <w:rPr>
          <w:rFonts w:eastAsia="Calibri"/>
        </w:rPr>
        <w:t xml:space="preserve">II.3. Domaine Energie </w:t>
      </w:r>
    </w:p>
    <w:p w14:paraId="4D875AE0" w14:textId="1C5FDA94" w:rsidR="000D0280" w:rsidRPr="000D0280" w:rsidRDefault="000D0280" w:rsidP="000D0280">
      <w:pPr>
        <w:spacing w:after="0" w:line="240" w:lineRule="auto"/>
        <w:jc w:val="both"/>
        <w:rPr>
          <w:rFonts w:ascii="Calibri" w:eastAsia="Calibri" w:hAnsi="Calibri" w:cs="Calibri"/>
          <w:i/>
          <w:iCs/>
          <w:sz w:val="24"/>
          <w:szCs w:val="24"/>
        </w:rPr>
      </w:pPr>
      <w:r w:rsidRPr="000D0280">
        <w:rPr>
          <w:rFonts w:ascii="Calibri" w:eastAsia="Calibri" w:hAnsi="Calibri" w:cs="Calibri"/>
          <w:i/>
          <w:iCs/>
          <w:sz w:val="24"/>
          <w:szCs w:val="24"/>
        </w:rPr>
        <w:t>Les projets évalués dans le domaine de l’énergie ont pour objectif principal l’augmentation de la part des énergies renouvelables dans la production d’électricité au Burkina Faso et l’économie d’énergie par l’utilisation d’équipements efficients. Ils sont répartis comme suit :</w:t>
      </w:r>
    </w:p>
    <w:p w14:paraId="1B291D05" w14:textId="77777777" w:rsidR="004936A4" w:rsidRPr="000D0280" w:rsidRDefault="0002754C" w:rsidP="000D0280">
      <w:pPr>
        <w:numPr>
          <w:ilvl w:val="0"/>
          <w:numId w:val="27"/>
        </w:numPr>
        <w:pBdr>
          <w:top w:val="nil"/>
          <w:left w:val="nil"/>
          <w:bottom w:val="nil"/>
          <w:right w:val="nil"/>
          <w:between w:val="nil"/>
        </w:pBdr>
        <w:spacing w:after="0" w:line="240" w:lineRule="auto"/>
        <w:jc w:val="both"/>
        <w:rPr>
          <w:rFonts w:ascii="Calibri" w:eastAsia="Calibri" w:hAnsi="Calibri" w:cs="Calibri"/>
          <w:i/>
          <w:iCs/>
          <w:color w:val="000000"/>
          <w:sz w:val="24"/>
          <w:szCs w:val="24"/>
        </w:rPr>
      </w:pPr>
      <w:r w:rsidRPr="000D0280">
        <w:rPr>
          <w:rFonts w:ascii="Calibri" w:eastAsia="Calibri" w:hAnsi="Calibri" w:cs="Calibri"/>
          <w:i/>
          <w:iCs/>
          <w:color w:val="000000"/>
          <w:sz w:val="24"/>
          <w:szCs w:val="24"/>
        </w:rPr>
        <w:t>24 projets du scénario inconditionnel ;</w:t>
      </w:r>
    </w:p>
    <w:p w14:paraId="134AFDF2" w14:textId="60213141" w:rsidR="004936A4" w:rsidRPr="000D0280" w:rsidRDefault="00793D34" w:rsidP="000D0280">
      <w:pPr>
        <w:numPr>
          <w:ilvl w:val="0"/>
          <w:numId w:val="27"/>
        </w:numPr>
        <w:pBdr>
          <w:top w:val="nil"/>
          <w:left w:val="nil"/>
          <w:bottom w:val="nil"/>
          <w:right w:val="nil"/>
          <w:between w:val="nil"/>
        </w:pBdr>
        <w:spacing w:after="0" w:line="240" w:lineRule="auto"/>
        <w:jc w:val="both"/>
        <w:rPr>
          <w:rFonts w:ascii="Calibri" w:eastAsia="Calibri" w:hAnsi="Calibri" w:cs="Calibri"/>
          <w:i/>
          <w:iCs/>
          <w:color w:val="000000"/>
          <w:sz w:val="24"/>
          <w:szCs w:val="24"/>
        </w:rPr>
      </w:pPr>
      <w:r w:rsidRPr="000D0280">
        <w:rPr>
          <w:rFonts w:ascii="Calibri" w:eastAsia="Calibri" w:hAnsi="Calibri" w:cs="Calibri"/>
          <w:i/>
          <w:iCs/>
          <w:color w:val="000000"/>
          <w:sz w:val="24"/>
          <w:szCs w:val="24"/>
        </w:rPr>
        <w:t>25 projets du scénario conditionnels, structurés autour de 8 axes.</w:t>
      </w:r>
    </w:p>
    <w:p w14:paraId="397CFEBA" w14:textId="77777777" w:rsidR="005204D2" w:rsidRDefault="005204D2" w:rsidP="005A0DCC">
      <w:pPr>
        <w:pBdr>
          <w:top w:val="nil"/>
          <w:left w:val="nil"/>
          <w:bottom w:val="nil"/>
          <w:right w:val="nil"/>
          <w:between w:val="nil"/>
        </w:pBdr>
        <w:spacing w:after="0" w:line="240" w:lineRule="auto"/>
        <w:jc w:val="both"/>
        <w:rPr>
          <w:rFonts w:ascii="Calibri" w:eastAsia="Calibri" w:hAnsi="Calibri" w:cs="Calibri"/>
          <w:b/>
          <w:i/>
          <w:color w:val="90C226" w:themeColor="accent1"/>
          <w:sz w:val="24"/>
          <w:szCs w:val="24"/>
        </w:rPr>
      </w:pPr>
    </w:p>
    <w:p w14:paraId="342385CC" w14:textId="5170CEC4" w:rsidR="00E343B2" w:rsidRPr="00E343B2" w:rsidRDefault="005A0DCC" w:rsidP="005A0DCC">
      <w:pPr>
        <w:pBdr>
          <w:top w:val="nil"/>
          <w:left w:val="nil"/>
          <w:bottom w:val="nil"/>
          <w:right w:val="nil"/>
          <w:between w:val="nil"/>
        </w:pBdr>
        <w:spacing w:after="0" w:line="240" w:lineRule="auto"/>
        <w:jc w:val="both"/>
        <w:rPr>
          <w:rFonts w:ascii="Calibri" w:eastAsia="Calibri" w:hAnsi="Calibri" w:cs="Calibri"/>
          <w:b/>
          <w:i/>
          <w:color w:val="90C226" w:themeColor="accent1"/>
          <w:sz w:val="24"/>
          <w:szCs w:val="24"/>
        </w:rPr>
      </w:pPr>
      <w:r>
        <w:rPr>
          <w:rFonts w:ascii="Calibri" w:eastAsia="Calibri" w:hAnsi="Calibri" w:cs="Calibri"/>
          <w:b/>
          <w:i/>
          <w:color w:val="90C226" w:themeColor="accent1"/>
          <w:sz w:val="24"/>
          <w:szCs w:val="24"/>
        </w:rPr>
        <w:lastRenderedPageBreak/>
        <w:t>L</w:t>
      </w:r>
      <w:r w:rsidR="00E343B2" w:rsidRPr="00E343B2">
        <w:rPr>
          <w:rFonts w:ascii="Calibri" w:eastAsia="Calibri" w:hAnsi="Calibri" w:cs="Calibri"/>
          <w:b/>
          <w:i/>
          <w:color w:val="90C226" w:themeColor="accent1"/>
          <w:sz w:val="24"/>
          <w:szCs w:val="24"/>
        </w:rPr>
        <w:t>a réalisation physique des projets du scénario conditionnel (26,7%) dépasse la réalisation physique des projets du scénario inconditionnel (9.1%), tandis que l’analyse de l’exécution financière n’est pas pertinente en raison de la difficulté d’accès aux données financières des porteurs de projets, souvent du secteur privé (notamment les projets de centrale solaire)</w:t>
      </w:r>
      <w:r w:rsidR="00424140">
        <w:rPr>
          <w:rFonts w:ascii="Calibri" w:eastAsia="Calibri" w:hAnsi="Calibri" w:cs="Calibri"/>
          <w:b/>
          <w:i/>
          <w:color w:val="90C226" w:themeColor="accent1"/>
          <w:sz w:val="24"/>
          <w:szCs w:val="24"/>
        </w:rPr>
        <w:t>.</w:t>
      </w:r>
    </w:p>
    <w:p w14:paraId="38217725" w14:textId="29F15A57" w:rsidR="004936A4" w:rsidRPr="00E343B2" w:rsidRDefault="00E343B2" w:rsidP="005A0DCC">
      <w:pPr>
        <w:pStyle w:val="ListParagraph"/>
        <w:numPr>
          <w:ilvl w:val="0"/>
          <w:numId w:val="28"/>
        </w:numPr>
        <w:pBdr>
          <w:top w:val="nil"/>
          <w:left w:val="nil"/>
          <w:bottom w:val="nil"/>
          <w:right w:val="nil"/>
          <w:between w:val="nil"/>
        </w:pBdr>
        <w:spacing w:after="0" w:line="240" w:lineRule="auto"/>
        <w:jc w:val="both"/>
        <w:rPr>
          <w:rFonts w:ascii="Calibri" w:eastAsia="Calibri" w:hAnsi="Calibri" w:cs="Calibri"/>
          <w:sz w:val="24"/>
          <w:szCs w:val="24"/>
        </w:rPr>
      </w:pPr>
      <w:r w:rsidRPr="00E343B2">
        <w:rPr>
          <w:rFonts w:ascii="Calibri" w:eastAsia="Calibri" w:hAnsi="Calibri" w:cs="Calibri"/>
          <w:bCs/>
          <w:color w:val="000000"/>
          <w:sz w:val="24"/>
          <w:szCs w:val="24"/>
          <w:u w:val="single"/>
        </w:rPr>
        <w:t>Projets du scénario inconditionnel :</w:t>
      </w:r>
      <w:r w:rsidRPr="00E343B2">
        <w:rPr>
          <w:rFonts w:ascii="Calibri" w:eastAsia="Calibri" w:hAnsi="Calibri" w:cs="Calibri"/>
          <w:b/>
          <w:color w:val="000000"/>
          <w:sz w:val="24"/>
          <w:szCs w:val="24"/>
        </w:rPr>
        <w:t xml:space="preserve"> </w:t>
      </w:r>
      <w:r w:rsidRPr="00E343B2">
        <w:rPr>
          <w:rFonts w:ascii="Calibri" w:eastAsia="Calibri" w:hAnsi="Calibri" w:cs="Calibri"/>
          <w:sz w:val="24"/>
          <w:szCs w:val="24"/>
        </w:rPr>
        <w:t>Sur les 22 projets inscrits à la rubrique « production d’électricité » deux produisaient de l’électricité au 31 décembre 2019, soit 9,1% de taux de réalisation physique. Les deux projets inscrits à la rubrique « résidentiel » ont été exécutés tous à 100% avant le 31 décembre 2019.</w:t>
      </w:r>
    </w:p>
    <w:p w14:paraId="7376A83E" w14:textId="62601401" w:rsidR="004936A4" w:rsidRDefault="00E343B2" w:rsidP="002A34EB">
      <w:pPr>
        <w:pStyle w:val="ListParagraph"/>
        <w:numPr>
          <w:ilvl w:val="0"/>
          <w:numId w:val="28"/>
        </w:numPr>
        <w:pBdr>
          <w:top w:val="nil"/>
          <w:left w:val="nil"/>
          <w:bottom w:val="nil"/>
          <w:right w:val="nil"/>
          <w:between w:val="nil"/>
        </w:pBdr>
        <w:spacing w:after="0" w:line="240" w:lineRule="auto"/>
        <w:jc w:val="both"/>
        <w:rPr>
          <w:rFonts w:ascii="Calibri" w:eastAsia="Calibri" w:hAnsi="Calibri" w:cs="Calibri"/>
          <w:sz w:val="24"/>
          <w:szCs w:val="24"/>
        </w:rPr>
      </w:pPr>
      <w:r w:rsidRPr="00E343B2">
        <w:rPr>
          <w:rFonts w:ascii="Calibri" w:eastAsia="Calibri" w:hAnsi="Calibri" w:cs="Calibri"/>
          <w:bCs/>
          <w:color w:val="000000"/>
          <w:sz w:val="24"/>
          <w:szCs w:val="24"/>
          <w:u w:val="single"/>
        </w:rPr>
        <w:t>Projets du scénario conditionnel :</w:t>
      </w:r>
      <w:r w:rsidRPr="00E343B2">
        <w:rPr>
          <w:rFonts w:ascii="Calibri" w:eastAsia="Calibri" w:hAnsi="Calibri" w:cs="Calibri"/>
          <w:b/>
          <w:color w:val="000000"/>
          <w:sz w:val="24"/>
          <w:szCs w:val="24"/>
        </w:rPr>
        <w:t xml:space="preserve"> </w:t>
      </w:r>
      <w:r w:rsidRPr="00E343B2">
        <w:rPr>
          <w:rFonts w:ascii="Calibri" w:eastAsia="Calibri" w:hAnsi="Calibri" w:cs="Calibri"/>
          <w:sz w:val="24"/>
          <w:szCs w:val="24"/>
        </w:rPr>
        <w:t>Des 15 projets identifiés dans la rubrique « production d’électricité », quatre produisaient de l’électricité au 31 décembre 2019, soit 26,7% de taux de réalisation physique. Sur 4 projets inscrits à la rubrique « résidentiel » un seul a été exécuté à 100%, soit 25% de taux de réalisation.</w:t>
      </w:r>
    </w:p>
    <w:p w14:paraId="6C094E83" w14:textId="77777777" w:rsidR="00A8236F" w:rsidRPr="002A34EB" w:rsidRDefault="00A8236F" w:rsidP="00A8236F">
      <w:pPr>
        <w:pStyle w:val="ListParagraph"/>
        <w:pBdr>
          <w:top w:val="nil"/>
          <w:left w:val="nil"/>
          <w:bottom w:val="nil"/>
          <w:right w:val="nil"/>
          <w:between w:val="nil"/>
        </w:pBdr>
        <w:spacing w:after="0" w:line="240" w:lineRule="auto"/>
        <w:jc w:val="both"/>
        <w:rPr>
          <w:rFonts w:ascii="Calibri" w:eastAsia="Calibri" w:hAnsi="Calibri" w:cs="Calibri"/>
          <w:sz w:val="24"/>
          <w:szCs w:val="24"/>
        </w:rPr>
      </w:pPr>
    </w:p>
    <w:p w14:paraId="2A214B76" w14:textId="0EB0464D" w:rsidR="004936A4" w:rsidRDefault="0002754C" w:rsidP="00E343B2">
      <w:pPr>
        <w:pStyle w:val="Heading2"/>
        <w:rPr>
          <w:rFonts w:ascii="Calibri" w:eastAsia="Calibri" w:hAnsi="Calibri" w:cs="Calibri"/>
          <w:b/>
          <w:sz w:val="24"/>
          <w:szCs w:val="24"/>
        </w:rPr>
      </w:pPr>
      <w:r w:rsidRPr="00E343B2">
        <w:rPr>
          <w:rFonts w:eastAsia="Calibri"/>
        </w:rPr>
        <w:t>II.4. Transport, météorologie, Habitat et urbanisme, santé</w:t>
      </w:r>
    </w:p>
    <w:p w14:paraId="59B5281D" w14:textId="77777777" w:rsidR="004E4834" w:rsidRDefault="004E4834" w:rsidP="004E4834">
      <w:pPr>
        <w:pStyle w:val="Heading3"/>
        <w:rPr>
          <w:rFonts w:eastAsia="Calibri"/>
        </w:rPr>
      </w:pPr>
      <w:r>
        <w:rPr>
          <w:rFonts w:eastAsia="Calibri"/>
        </w:rPr>
        <w:t xml:space="preserve">II.4.1.  Projets inscrits dans la CDN </w:t>
      </w:r>
    </w:p>
    <w:p w14:paraId="15D0B728" w14:textId="081E56FB" w:rsidR="004E4834" w:rsidRDefault="004E4834" w:rsidP="004E4834">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Des deux projets inconditionnels inscrits en matière de transport, le projet de « Transfert modal » et le « Renforcement du projet de transfert modal dans la ville de Ouagadougou (sur 20Km)) » seul le premier a été exécuté à 10% soit un taux d’exécution cumulé de 50%. </w:t>
      </w:r>
    </w:p>
    <w:p w14:paraId="030F2C1D" w14:textId="77777777" w:rsidR="004E4834" w:rsidRDefault="004E4834" w:rsidP="004E4834">
      <w:pPr>
        <w:spacing w:after="0" w:line="240" w:lineRule="auto"/>
        <w:jc w:val="both"/>
        <w:rPr>
          <w:rFonts w:ascii="Calibri" w:eastAsia="Calibri" w:hAnsi="Calibri" w:cs="Calibri"/>
          <w:sz w:val="24"/>
          <w:szCs w:val="24"/>
        </w:rPr>
      </w:pPr>
      <w:r>
        <w:rPr>
          <w:rFonts w:ascii="Calibri" w:eastAsia="Calibri" w:hAnsi="Calibri" w:cs="Calibri"/>
          <w:sz w:val="24"/>
          <w:szCs w:val="24"/>
        </w:rPr>
        <w:t>Les 3 projets conditionnels du secteur du transport</w:t>
      </w:r>
      <w:r>
        <w:rPr>
          <w:rStyle w:val="FootnoteReference"/>
          <w:rFonts w:ascii="Calibri" w:eastAsia="Calibri" w:hAnsi="Calibri" w:cs="Calibri"/>
          <w:sz w:val="24"/>
          <w:szCs w:val="24"/>
        </w:rPr>
        <w:footnoteReference w:id="1"/>
      </w:r>
      <w:r>
        <w:rPr>
          <w:rFonts w:ascii="Calibri" w:eastAsia="Calibri" w:hAnsi="Calibri" w:cs="Calibri"/>
          <w:sz w:val="24"/>
          <w:szCs w:val="24"/>
        </w:rPr>
        <w:t xml:space="preserve"> n’ont connu aucune avancée. Soit un taux d’exécution de 00%.</w:t>
      </w:r>
    </w:p>
    <w:p w14:paraId="781BF8F2" w14:textId="77777777" w:rsidR="004E4834" w:rsidRDefault="004E4834" w:rsidP="004E4834">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En matière d’habitat, d’urbanisme, de santé et d’alerte précoces treize (13) projets ont été retenus dans la CDN de base. Les échanges n’ont pas permis d’indexer le niveau d’exécution des projets tel qu’indiqué. </w:t>
      </w:r>
    </w:p>
    <w:p w14:paraId="642A66C2" w14:textId="77777777" w:rsidR="004E4834" w:rsidRDefault="004E4834" w:rsidP="004E4834">
      <w:pPr>
        <w:spacing w:after="0" w:line="240" w:lineRule="auto"/>
        <w:jc w:val="both"/>
        <w:rPr>
          <w:rFonts w:ascii="Calibri" w:eastAsia="Calibri" w:hAnsi="Calibri" w:cs="Calibri"/>
          <w:sz w:val="24"/>
          <w:szCs w:val="24"/>
        </w:rPr>
      </w:pPr>
      <w:r>
        <w:rPr>
          <w:rFonts w:ascii="Calibri" w:eastAsia="Calibri" w:hAnsi="Calibri" w:cs="Calibri"/>
          <w:sz w:val="24"/>
          <w:szCs w:val="24"/>
        </w:rPr>
        <w:t>L’exécution des projets a permis d’améliorer la qualité de l’offre de transport en commun au profit des 1 650 0001 usagers de la SOTRACO en 2018. En outre le nombre d'usagers sur la ligne 3 sujette aux travaux, a augmenté de 7,5% comparé aux taux enregistrés sur d'autres itinéraires de la SOTRACO.</w:t>
      </w:r>
    </w:p>
    <w:p w14:paraId="49B50135" w14:textId="77777777" w:rsidR="004E4834" w:rsidRDefault="004E4834" w:rsidP="004E4834">
      <w:pPr>
        <w:pStyle w:val="Heading3"/>
        <w:rPr>
          <w:rFonts w:eastAsia="Calibri"/>
        </w:rPr>
      </w:pPr>
    </w:p>
    <w:p w14:paraId="3FFC3B33" w14:textId="77777777" w:rsidR="004E4834" w:rsidRDefault="004E4834" w:rsidP="004E4834">
      <w:pPr>
        <w:pStyle w:val="Heading3"/>
        <w:rPr>
          <w:rFonts w:eastAsia="Calibri"/>
        </w:rPr>
      </w:pPr>
      <w:r w:rsidRPr="00EA3906">
        <w:rPr>
          <w:rFonts w:eastAsia="Calibri"/>
        </w:rPr>
        <w:t xml:space="preserve">II.4.2.  Projets répertoriés et non inscrit dans la CDN </w:t>
      </w:r>
    </w:p>
    <w:p w14:paraId="4A77F16A" w14:textId="77777777" w:rsidR="004E4834" w:rsidRPr="005A0DCC" w:rsidRDefault="004E4834" w:rsidP="004E4834">
      <w:pPr>
        <w:pStyle w:val="Heading4"/>
        <w:rPr>
          <w:rFonts w:eastAsia="Calibri"/>
          <w:color w:val="808080" w:themeColor="background1" w:themeShade="80"/>
        </w:rPr>
      </w:pPr>
      <w:r w:rsidRPr="005A0DCC">
        <w:rPr>
          <w:rFonts w:eastAsia="Calibri"/>
          <w:color w:val="808080" w:themeColor="background1" w:themeShade="80"/>
        </w:rPr>
        <w:t>a)  Taux d’exécution physique et financier</w:t>
      </w:r>
    </w:p>
    <w:p w14:paraId="767539D5" w14:textId="77777777" w:rsidR="004E4834" w:rsidRDefault="004E4834" w:rsidP="004E4834">
      <w:pPr>
        <w:spacing w:after="0" w:line="240" w:lineRule="auto"/>
        <w:jc w:val="both"/>
        <w:rPr>
          <w:rFonts w:ascii="Calibri" w:eastAsia="Calibri" w:hAnsi="Calibri" w:cs="Calibri"/>
          <w:color w:val="000000"/>
          <w:sz w:val="24"/>
          <w:szCs w:val="24"/>
        </w:rPr>
      </w:pPr>
      <w:r>
        <w:rPr>
          <w:rFonts w:ascii="Calibri" w:eastAsia="Calibri" w:hAnsi="Calibri" w:cs="Calibri"/>
          <w:sz w:val="24"/>
          <w:szCs w:val="24"/>
        </w:rPr>
        <w:t xml:space="preserve">Outre les projets inscrits dans la CDN, un certain nombre de projets aux effets positifs sur la réduction des GES ont été répertoriés et analysés. </w:t>
      </w:r>
      <w:r>
        <w:rPr>
          <w:rStyle w:val="FootnoteReference"/>
          <w:rFonts w:ascii="Calibri" w:eastAsia="Calibri" w:hAnsi="Calibri" w:cs="Calibri"/>
          <w:sz w:val="24"/>
          <w:szCs w:val="24"/>
        </w:rPr>
        <w:footnoteReference w:id="2"/>
      </w:r>
    </w:p>
    <w:p w14:paraId="0A38A7C7" w14:textId="77777777" w:rsidR="004E4834" w:rsidRDefault="004E4834" w:rsidP="004E4834">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Ces projets cumulent des taux d’exécution moyen de 69% pour le secteur des transports, de 80% pour la réalisation d’ouvrages et de 50,71% pour les projets d’alertes précoces. </w:t>
      </w:r>
    </w:p>
    <w:p w14:paraId="3A893976" w14:textId="77777777" w:rsidR="004E4834" w:rsidRDefault="004E4834" w:rsidP="004E4834">
      <w:pPr>
        <w:spacing w:line="240" w:lineRule="auto"/>
        <w:jc w:val="both"/>
        <w:rPr>
          <w:rFonts w:ascii="Calibri" w:eastAsia="Calibri" w:hAnsi="Calibri" w:cs="Calibri"/>
          <w:sz w:val="24"/>
          <w:szCs w:val="24"/>
        </w:rPr>
      </w:pPr>
      <w:r>
        <w:rPr>
          <w:rFonts w:ascii="Calibri" w:eastAsia="Calibri" w:hAnsi="Calibri" w:cs="Calibri"/>
          <w:sz w:val="24"/>
          <w:szCs w:val="24"/>
        </w:rPr>
        <w:t xml:space="preserve">Les avancées en matière d’alertes précoces devraient s’améliorer considérablement au terme de l’exécution du projet HYDROMET.   </w:t>
      </w:r>
    </w:p>
    <w:p w14:paraId="3D6E383D" w14:textId="77777777" w:rsidR="004E4834" w:rsidRDefault="004E4834" w:rsidP="004E4834">
      <w:pPr>
        <w:spacing w:after="0" w:line="240" w:lineRule="auto"/>
        <w:jc w:val="both"/>
        <w:rPr>
          <w:rFonts w:ascii="Calibri" w:eastAsia="Calibri" w:hAnsi="Calibri" w:cs="Calibri"/>
          <w:sz w:val="24"/>
          <w:szCs w:val="24"/>
        </w:rPr>
      </w:pPr>
      <w:r>
        <w:rPr>
          <w:rFonts w:ascii="Calibri" w:eastAsia="Calibri" w:hAnsi="Calibri" w:cs="Calibri"/>
          <w:sz w:val="24"/>
          <w:szCs w:val="24"/>
        </w:rPr>
        <w:t>Les projets évalués ont permis de:</w:t>
      </w:r>
    </w:p>
    <w:p w14:paraId="487043DE" w14:textId="503E1299" w:rsidR="004E4834" w:rsidRPr="005A0DCC" w:rsidRDefault="004E4834" w:rsidP="004E4834">
      <w:pPr>
        <w:pStyle w:val="ListParagraph"/>
        <w:numPr>
          <w:ilvl w:val="0"/>
          <w:numId w:val="29"/>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sidRPr="005A0DCC">
        <w:rPr>
          <w:rFonts w:ascii="Calibri" w:eastAsia="Calibri" w:hAnsi="Calibri" w:cs="Calibri"/>
          <w:color w:val="000000"/>
          <w:sz w:val="24"/>
          <w:szCs w:val="24"/>
        </w:rPr>
        <w:lastRenderedPageBreak/>
        <w:t>Ramener l’âge moyen des véhicules affectés au transport de marchandises de 20</w:t>
      </w:r>
      <w:r>
        <w:rPr>
          <w:rFonts w:ascii="Calibri" w:eastAsia="Calibri" w:hAnsi="Calibri" w:cs="Calibri"/>
          <w:color w:val="000000"/>
          <w:sz w:val="24"/>
          <w:szCs w:val="24"/>
        </w:rPr>
        <w:t xml:space="preserve"> </w:t>
      </w:r>
      <w:r w:rsidRPr="005A0DCC">
        <w:rPr>
          <w:rFonts w:ascii="Calibri" w:eastAsia="Calibri" w:hAnsi="Calibri" w:cs="Calibri"/>
          <w:color w:val="000000"/>
          <w:sz w:val="24"/>
          <w:szCs w:val="24"/>
        </w:rPr>
        <w:t>ans à 19 ans en 2020 contre 18 ans dans les prévisions</w:t>
      </w:r>
      <w:r w:rsidR="00080443">
        <w:rPr>
          <w:rFonts w:ascii="Calibri" w:eastAsia="Calibri" w:hAnsi="Calibri" w:cs="Calibri"/>
          <w:color w:val="000000"/>
          <w:sz w:val="24"/>
          <w:szCs w:val="24"/>
        </w:rPr>
        <w:t> ;</w:t>
      </w:r>
    </w:p>
    <w:p w14:paraId="15E86EF9" w14:textId="0DD3F287" w:rsidR="004E4834" w:rsidRPr="005A0DCC" w:rsidRDefault="004E4834" w:rsidP="004E4834">
      <w:pPr>
        <w:pStyle w:val="ListParagraph"/>
        <w:numPr>
          <w:ilvl w:val="0"/>
          <w:numId w:val="29"/>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sidRPr="005A0DCC">
        <w:rPr>
          <w:rFonts w:ascii="Calibri" w:eastAsia="Calibri" w:hAnsi="Calibri" w:cs="Calibri"/>
          <w:color w:val="000000"/>
          <w:sz w:val="24"/>
          <w:szCs w:val="24"/>
        </w:rPr>
        <w:t>Ramener le temps de parcours en transport en commun en 2019 à 40mn</w:t>
      </w:r>
      <w:r w:rsidR="00080443">
        <w:rPr>
          <w:rFonts w:ascii="Calibri" w:eastAsia="Calibri" w:hAnsi="Calibri" w:cs="Calibri"/>
          <w:color w:val="000000"/>
          <w:sz w:val="24"/>
          <w:szCs w:val="24"/>
        </w:rPr>
        <w:t> ;</w:t>
      </w:r>
    </w:p>
    <w:p w14:paraId="10F5F956" w14:textId="23866F1F" w:rsidR="004E4834" w:rsidRPr="005A0DCC" w:rsidRDefault="004E4834" w:rsidP="004E4834">
      <w:pPr>
        <w:pStyle w:val="ListParagraph"/>
        <w:numPr>
          <w:ilvl w:val="0"/>
          <w:numId w:val="29"/>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sidRPr="005A0DCC">
        <w:rPr>
          <w:rFonts w:ascii="Calibri" w:eastAsia="Calibri" w:hAnsi="Calibri" w:cs="Calibri"/>
          <w:color w:val="000000"/>
          <w:sz w:val="24"/>
          <w:szCs w:val="24"/>
        </w:rPr>
        <w:t>Ouvrir 8 lignes supplémentaires de bus à Ouagadougou et 1 réseau de bus dans les villes secondaires</w:t>
      </w:r>
      <w:r w:rsidR="00080443">
        <w:rPr>
          <w:rFonts w:ascii="Calibri" w:eastAsia="Calibri" w:hAnsi="Calibri" w:cs="Calibri"/>
          <w:color w:val="000000"/>
          <w:sz w:val="24"/>
          <w:szCs w:val="24"/>
        </w:rPr>
        <w:t> ;</w:t>
      </w:r>
    </w:p>
    <w:p w14:paraId="476B1888" w14:textId="4A6A7C60" w:rsidR="004E4834" w:rsidRPr="005A0DCC" w:rsidRDefault="004E4834" w:rsidP="004E4834">
      <w:pPr>
        <w:pStyle w:val="ListParagraph"/>
        <w:numPr>
          <w:ilvl w:val="0"/>
          <w:numId w:val="29"/>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sidRPr="005A0DCC">
        <w:rPr>
          <w:rFonts w:ascii="Calibri" w:eastAsia="Calibri" w:hAnsi="Calibri" w:cs="Calibri"/>
          <w:color w:val="000000"/>
          <w:sz w:val="24"/>
          <w:szCs w:val="24"/>
        </w:rPr>
        <w:t>Adopter 5 textes et documents en matière de mobilité urbaine</w:t>
      </w:r>
      <w:r w:rsidR="00080443">
        <w:rPr>
          <w:rFonts w:ascii="Calibri" w:eastAsia="Calibri" w:hAnsi="Calibri" w:cs="Calibri"/>
          <w:color w:val="000000"/>
          <w:sz w:val="24"/>
          <w:szCs w:val="24"/>
        </w:rPr>
        <w:t> ;</w:t>
      </w:r>
    </w:p>
    <w:p w14:paraId="7298ED66" w14:textId="7153CA1A" w:rsidR="004E4834" w:rsidRPr="005A0DCC" w:rsidRDefault="002B512F" w:rsidP="004E4834">
      <w:pPr>
        <w:pStyle w:val="ListParagraph"/>
        <w:numPr>
          <w:ilvl w:val="0"/>
          <w:numId w:val="29"/>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Co</w:t>
      </w:r>
      <w:r w:rsidR="004E4834" w:rsidRPr="005A0DCC">
        <w:rPr>
          <w:rFonts w:ascii="Calibri" w:eastAsia="Calibri" w:hAnsi="Calibri" w:cs="Calibri"/>
          <w:color w:val="000000"/>
          <w:sz w:val="24"/>
          <w:szCs w:val="24"/>
        </w:rPr>
        <w:t>uvrir 75% du territoire national par la télévision, la radiodiffusion et la presse écrite publiques</w:t>
      </w:r>
      <w:r w:rsidR="00080443">
        <w:rPr>
          <w:rFonts w:ascii="Calibri" w:eastAsia="Calibri" w:hAnsi="Calibri" w:cs="Calibri"/>
          <w:color w:val="000000"/>
          <w:sz w:val="24"/>
          <w:szCs w:val="24"/>
        </w:rPr>
        <w:t> ;</w:t>
      </w:r>
    </w:p>
    <w:p w14:paraId="6FD853A5" w14:textId="33CA680C" w:rsidR="004E4834" w:rsidRPr="005A0DCC" w:rsidRDefault="004E4834" w:rsidP="004E4834">
      <w:pPr>
        <w:pStyle w:val="ListParagraph"/>
        <w:numPr>
          <w:ilvl w:val="0"/>
          <w:numId w:val="29"/>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sidRPr="005A0DCC">
        <w:rPr>
          <w:rFonts w:ascii="Calibri" w:eastAsia="Calibri" w:hAnsi="Calibri" w:cs="Calibri"/>
          <w:color w:val="000000"/>
          <w:sz w:val="24"/>
          <w:szCs w:val="24"/>
        </w:rPr>
        <w:t>Stabiliser la proportion de la population urbaine</w:t>
      </w:r>
      <w:r>
        <w:rPr>
          <w:rFonts w:ascii="Calibri" w:eastAsia="Calibri" w:hAnsi="Calibri" w:cs="Calibri"/>
          <w:color w:val="000000"/>
          <w:sz w:val="24"/>
          <w:szCs w:val="24"/>
        </w:rPr>
        <w:t>, y compris les femmes</w:t>
      </w:r>
      <w:r w:rsidRPr="005A0DCC">
        <w:rPr>
          <w:rFonts w:ascii="Calibri" w:eastAsia="Calibri" w:hAnsi="Calibri" w:cs="Calibri"/>
          <w:color w:val="000000"/>
          <w:sz w:val="24"/>
          <w:szCs w:val="24"/>
        </w:rPr>
        <w:t xml:space="preserve"> vivant en zone non lotie à 17,2%</w:t>
      </w:r>
      <w:r w:rsidR="00080443">
        <w:rPr>
          <w:rFonts w:ascii="Calibri" w:eastAsia="Calibri" w:hAnsi="Calibri" w:cs="Calibri"/>
          <w:color w:val="000000"/>
          <w:sz w:val="24"/>
          <w:szCs w:val="24"/>
        </w:rPr>
        <w:t> ;</w:t>
      </w:r>
    </w:p>
    <w:p w14:paraId="590DC8DE" w14:textId="2B3ED02F" w:rsidR="004E4834" w:rsidRPr="005A0DCC" w:rsidRDefault="004E4834" w:rsidP="004E4834">
      <w:pPr>
        <w:pStyle w:val="ListParagraph"/>
        <w:numPr>
          <w:ilvl w:val="0"/>
          <w:numId w:val="29"/>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sidRPr="005A0DCC">
        <w:rPr>
          <w:rFonts w:ascii="Calibri" w:eastAsia="Calibri" w:hAnsi="Calibri" w:cs="Calibri"/>
          <w:color w:val="000000"/>
          <w:sz w:val="24"/>
          <w:szCs w:val="24"/>
        </w:rPr>
        <w:t xml:space="preserve">Offrir 10 076 logements sociaux et économiques aux </w:t>
      </w:r>
      <w:r w:rsidR="000F232F" w:rsidRPr="005A0DCC">
        <w:rPr>
          <w:rFonts w:ascii="Calibri" w:eastAsia="Calibri" w:hAnsi="Calibri" w:cs="Calibri"/>
          <w:color w:val="000000"/>
          <w:sz w:val="24"/>
          <w:szCs w:val="24"/>
        </w:rPr>
        <w:t>populations</w:t>
      </w:r>
      <w:r w:rsidR="00080443">
        <w:rPr>
          <w:rFonts w:ascii="Calibri" w:eastAsia="Calibri" w:hAnsi="Calibri" w:cs="Calibri"/>
          <w:color w:val="000000"/>
          <w:sz w:val="24"/>
          <w:szCs w:val="24"/>
        </w:rPr>
        <w:t> ;</w:t>
      </w:r>
    </w:p>
    <w:p w14:paraId="00DFC418" w14:textId="07FB3C65" w:rsidR="004E4834" w:rsidRDefault="004E4834" w:rsidP="004E4834">
      <w:pPr>
        <w:numPr>
          <w:ilvl w:val="0"/>
          <w:numId w:val="30"/>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Produire un hebdomadaire qui fait l’état des évolutions épidémiologiques du pays</w:t>
      </w:r>
      <w:r w:rsidR="00080443">
        <w:rPr>
          <w:rFonts w:ascii="Calibri" w:eastAsia="Calibri" w:hAnsi="Calibri" w:cs="Calibri"/>
          <w:color w:val="000000"/>
          <w:sz w:val="24"/>
          <w:szCs w:val="24"/>
        </w:rPr>
        <w:t> ;</w:t>
      </w:r>
    </w:p>
    <w:p w14:paraId="23727F39" w14:textId="77777777" w:rsidR="004E4834" w:rsidRDefault="004E4834" w:rsidP="004E4834">
      <w:pPr>
        <w:numPr>
          <w:ilvl w:val="0"/>
          <w:numId w:val="30"/>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Opérationnaliser le Centre des opérations de réponse aux urgences sanitaires (CORUS) de l’Institut national de santé publique (INSP) le 18 juin 2018.</w:t>
      </w:r>
    </w:p>
    <w:p w14:paraId="7A877184" w14:textId="77777777" w:rsidR="004E4834" w:rsidRDefault="004E4834" w:rsidP="004E4834">
      <w:pPr>
        <w:pBdr>
          <w:top w:val="nil"/>
          <w:left w:val="nil"/>
          <w:bottom w:val="nil"/>
          <w:right w:val="nil"/>
          <w:between w:val="nil"/>
        </w:pBdr>
        <w:spacing w:after="0" w:line="240" w:lineRule="auto"/>
        <w:ind w:left="284"/>
        <w:jc w:val="both"/>
        <w:rPr>
          <w:rFonts w:ascii="Calibri" w:eastAsia="Calibri" w:hAnsi="Calibri" w:cs="Calibri"/>
          <w:color w:val="000000"/>
          <w:sz w:val="24"/>
          <w:szCs w:val="24"/>
        </w:rPr>
      </w:pPr>
    </w:p>
    <w:p w14:paraId="391AC90E" w14:textId="77777777" w:rsidR="004E4834" w:rsidRPr="005A0DCC" w:rsidRDefault="004E4834" w:rsidP="004E4834">
      <w:pPr>
        <w:pStyle w:val="Heading4"/>
        <w:rPr>
          <w:rFonts w:eastAsia="Calibri"/>
          <w:color w:val="808080" w:themeColor="background1" w:themeShade="80"/>
        </w:rPr>
      </w:pPr>
      <w:r w:rsidRPr="005A0DCC">
        <w:rPr>
          <w:rFonts w:eastAsia="Calibri"/>
          <w:color w:val="808080" w:themeColor="background1" w:themeShade="80"/>
        </w:rPr>
        <w:t xml:space="preserve">b)  Bénéficiaires des projets et programmes </w:t>
      </w:r>
    </w:p>
    <w:p w14:paraId="539FF620" w14:textId="77777777" w:rsidR="004E4834" w:rsidRDefault="004E4834" w:rsidP="004E4834">
      <w:pPr>
        <w:spacing w:after="0" w:line="240" w:lineRule="auto"/>
        <w:jc w:val="both"/>
        <w:rPr>
          <w:rFonts w:ascii="Calibri" w:eastAsia="Calibri" w:hAnsi="Calibri" w:cs="Calibri"/>
          <w:sz w:val="24"/>
          <w:szCs w:val="24"/>
        </w:rPr>
      </w:pPr>
      <w:r>
        <w:rPr>
          <w:rFonts w:ascii="Calibri" w:eastAsia="Calibri" w:hAnsi="Calibri" w:cs="Calibri"/>
          <w:sz w:val="24"/>
          <w:szCs w:val="24"/>
        </w:rPr>
        <w:t>Les projets dans les domaines en objet ont permis à :</w:t>
      </w:r>
    </w:p>
    <w:p w14:paraId="3AB213E0" w14:textId="77777777" w:rsidR="004E4834" w:rsidRDefault="004E4834" w:rsidP="004E4834">
      <w:pPr>
        <w:numPr>
          <w:ilvl w:val="0"/>
          <w:numId w:val="31"/>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5 415 personnes, y compris les femmes vivant en zones urbaines, de bénéficier d’un accès à des routes praticables en toutes saisons dans un rayon de 500 m de part et d’autre de la route ;</w:t>
      </w:r>
    </w:p>
    <w:p w14:paraId="5CB14194" w14:textId="2E6B8038" w:rsidR="004E4834" w:rsidRDefault="004E4834" w:rsidP="004E4834">
      <w:pPr>
        <w:numPr>
          <w:ilvl w:val="0"/>
          <w:numId w:val="31"/>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8 175 personnes de bénéficier d’un accès à des routes praticables en toutes saisons entre Manga et Zabré, dont plus de la moitié sont des femmes (4251 femmes bénéficiaires) ;</w:t>
      </w:r>
    </w:p>
    <w:p w14:paraId="4FB9E154" w14:textId="77777777" w:rsidR="004E4834" w:rsidRDefault="004E4834" w:rsidP="004E4834">
      <w:pPr>
        <w:numPr>
          <w:ilvl w:val="0"/>
          <w:numId w:val="31"/>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Un million de personnes (hommes et femmes) d’avoir un accès à des bulletins climatologiques perfectionnés, qui sont diffusés régulièrement par les stations de radios locales ;</w:t>
      </w:r>
    </w:p>
    <w:p w14:paraId="290641A9" w14:textId="77777777" w:rsidR="004E4834" w:rsidRDefault="004E4834" w:rsidP="004E4834">
      <w:pPr>
        <w:numPr>
          <w:ilvl w:val="0"/>
          <w:numId w:val="31"/>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Des centaines de milliers de personnes d’avoir accès aux avis de tempête de sable ;</w:t>
      </w:r>
    </w:p>
    <w:p w14:paraId="7011CAAE" w14:textId="77777777" w:rsidR="004E4834" w:rsidRDefault="004E4834" w:rsidP="004E4834">
      <w:pPr>
        <w:numPr>
          <w:ilvl w:val="0"/>
          <w:numId w:val="31"/>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1 650 000 usagers actuels des transports en commun de bénéficier d’une meilleure qualité de service des transports ;</w:t>
      </w:r>
    </w:p>
    <w:p w14:paraId="759970B1" w14:textId="77777777" w:rsidR="004E4834" w:rsidRDefault="004E4834" w:rsidP="004E4834">
      <w:pPr>
        <w:numPr>
          <w:ilvl w:val="0"/>
          <w:numId w:val="31"/>
        </w:numPr>
        <w:pBdr>
          <w:top w:val="nil"/>
          <w:left w:val="nil"/>
          <w:bottom w:val="nil"/>
          <w:right w:val="nil"/>
          <w:between w:val="nil"/>
        </w:pBdr>
        <w:spacing w:line="240" w:lineRule="auto"/>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Plus de 60 millions soins gratuits aux femmes enceintes et aux enfants de moins de 5 ans.</w:t>
      </w:r>
    </w:p>
    <w:p w14:paraId="694FEC06" w14:textId="77777777" w:rsidR="00230AC4" w:rsidRPr="00060FF7" w:rsidRDefault="00230AC4" w:rsidP="00312020">
      <w:pPr>
        <w:jc w:val="both"/>
        <w:rPr>
          <w:rFonts w:asciiTheme="majorHAnsi" w:eastAsia="Calibri" w:hAnsiTheme="majorHAnsi" w:cstheme="majorBidi"/>
          <w:b/>
          <w:bCs/>
          <w:color w:val="54A021" w:themeColor="accent2"/>
          <w:sz w:val="20"/>
          <w:szCs w:val="20"/>
        </w:rPr>
      </w:pPr>
    </w:p>
    <w:p w14:paraId="439DFE29" w14:textId="5BC9D727" w:rsidR="004936A4" w:rsidRPr="00312020" w:rsidRDefault="00312020" w:rsidP="00312020">
      <w:pPr>
        <w:jc w:val="both"/>
      </w:pPr>
      <w:r w:rsidRPr="00312020">
        <w:rPr>
          <w:rFonts w:asciiTheme="majorHAnsi" w:eastAsia="Calibri" w:hAnsiTheme="majorHAnsi" w:cstheme="majorBidi"/>
          <w:b/>
          <w:bCs/>
          <w:color w:val="54A021" w:themeColor="accent2"/>
          <w:sz w:val="30"/>
          <w:szCs w:val="30"/>
        </w:rPr>
        <w:t>III</w:t>
      </w:r>
      <w:r w:rsidR="00F14595">
        <w:rPr>
          <w:rFonts w:asciiTheme="majorHAnsi" w:eastAsia="Calibri" w:hAnsiTheme="majorHAnsi" w:cstheme="majorBidi"/>
          <w:b/>
          <w:bCs/>
          <w:color w:val="54A021" w:themeColor="accent2"/>
          <w:sz w:val="30"/>
          <w:szCs w:val="30"/>
        </w:rPr>
        <w:t>.</w:t>
      </w:r>
      <w:r w:rsidRPr="00312020">
        <w:rPr>
          <w:rFonts w:asciiTheme="majorHAnsi" w:eastAsia="Calibri" w:hAnsiTheme="majorHAnsi" w:cstheme="majorBidi"/>
          <w:b/>
          <w:bCs/>
          <w:color w:val="54A021" w:themeColor="accent2"/>
          <w:sz w:val="30"/>
          <w:szCs w:val="30"/>
        </w:rPr>
        <w:t xml:space="preserve"> </w:t>
      </w:r>
      <w:r w:rsidR="005A0DCC" w:rsidRPr="00312020">
        <w:rPr>
          <w:rFonts w:asciiTheme="majorHAnsi" w:eastAsia="Calibri" w:hAnsiTheme="majorHAnsi" w:cstheme="majorBidi"/>
          <w:b/>
          <w:bCs/>
          <w:color w:val="54A021" w:themeColor="accent2"/>
          <w:sz w:val="30"/>
          <w:szCs w:val="30"/>
        </w:rPr>
        <w:t>CONTRIBUTION DES PROJETS ET PROGRAMMES A LA REDUCTION DES GES</w:t>
      </w:r>
    </w:p>
    <w:p w14:paraId="7EFCC17C" w14:textId="77777777" w:rsidR="004936A4" w:rsidRDefault="0002754C" w:rsidP="003A7A3F">
      <w:pPr>
        <w:pStyle w:val="Heading2"/>
        <w:jc w:val="both"/>
        <w:rPr>
          <w:rFonts w:eastAsia="Calibri"/>
        </w:rPr>
      </w:pPr>
      <w:r>
        <w:rPr>
          <w:rFonts w:eastAsia="Calibri"/>
        </w:rPr>
        <w:t>III.1. Bilan carbone des projets et programmes du domaine agriculture foresterie-utilisation des terres (AFOLU)</w:t>
      </w:r>
    </w:p>
    <w:p w14:paraId="258C0839" w14:textId="77777777" w:rsidR="00855C68" w:rsidRDefault="00855C68" w:rsidP="00855C68">
      <w:pPr>
        <w:pStyle w:val="Heading3"/>
        <w:rPr>
          <w:rFonts w:eastAsia="Calibri"/>
        </w:rPr>
      </w:pPr>
    </w:p>
    <w:p w14:paraId="4197AD9B" w14:textId="60B0286F" w:rsidR="004936A4" w:rsidRDefault="0002754C" w:rsidP="003641B5">
      <w:pPr>
        <w:pStyle w:val="Heading3"/>
        <w:jc w:val="both"/>
        <w:rPr>
          <w:rFonts w:eastAsia="Calibri"/>
        </w:rPr>
      </w:pPr>
      <w:r>
        <w:rPr>
          <w:rFonts w:eastAsia="Calibri"/>
        </w:rPr>
        <w:t>III.1.1. Bilan carbone des projets et programmes du domaine AFOLU des</w:t>
      </w:r>
      <w:r w:rsidR="00E74ABF">
        <w:rPr>
          <w:rFonts w:eastAsia="Calibri"/>
        </w:rPr>
        <w:t xml:space="preserve"> </w:t>
      </w:r>
      <w:r>
        <w:rPr>
          <w:rFonts w:eastAsia="Calibri"/>
        </w:rPr>
        <w:t>scenarii inconditionnel et conditionnel</w:t>
      </w:r>
    </w:p>
    <w:p w14:paraId="72EBDB03" w14:textId="4B15C890" w:rsidR="004936A4" w:rsidRDefault="0002754C" w:rsidP="003641B5">
      <w:pPr>
        <w:spacing w:line="240" w:lineRule="auto"/>
        <w:jc w:val="both"/>
        <w:rPr>
          <w:rFonts w:ascii="Calibri" w:eastAsia="Calibri" w:hAnsi="Calibri" w:cs="Calibri"/>
          <w:sz w:val="24"/>
          <w:szCs w:val="24"/>
        </w:rPr>
      </w:pPr>
      <w:r>
        <w:rPr>
          <w:rFonts w:ascii="Calibri" w:eastAsia="Calibri" w:hAnsi="Calibri" w:cs="Calibri"/>
          <w:sz w:val="24"/>
          <w:szCs w:val="24"/>
        </w:rPr>
        <w:t>Le Projet de Gestion Décentralisée des Forêts et Espaces Boisés (PGDFEB) et le Projet de Gestion participative des Forêts Classées pour la REDD+ (PGFC/REDD+) sont les deux projets du Programme d’Investissement Forestier (PIF) du Burkina Faso en matière de foresterie</w:t>
      </w:r>
      <w:r w:rsidR="00855C68">
        <w:rPr>
          <w:rFonts w:ascii="Calibri" w:eastAsia="Calibri" w:hAnsi="Calibri" w:cs="Calibri"/>
          <w:sz w:val="24"/>
          <w:szCs w:val="24"/>
        </w:rPr>
        <w:t xml:space="preserve">, </w:t>
      </w:r>
      <w:r>
        <w:rPr>
          <w:rFonts w:ascii="Calibri" w:eastAsia="Calibri" w:hAnsi="Calibri" w:cs="Calibri"/>
          <w:sz w:val="24"/>
          <w:szCs w:val="24"/>
        </w:rPr>
        <w:t xml:space="preserve">exécutés pour réduire les GES. Leur formulation intègre les résultats d'émissions crédités dont les objectifs ont été dès le départ orientés </w:t>
      </w:r>
      <w:r w:rsidR="00855C68">
        <w:rPr>
          <w:rFonts w:ascii="Calibri" w:eastAsia="Calibri" w:hAnsi="Calibri" w:cs="Calibri"/>
          <w:sz w:val="24"/>
          <w:szCs w:val="24"/>
        </w:rPr>
        <w:t>vers</w:t>
      </w:r>
      <w:r>
        <w:rPr>
          <w:rFonts w:ascii="Calibri" w:eastAsia="Calibri" w:hAnsi="Calibri" w:cs="Calibri"/>
          <w:sz w:val="24"/>
          <w:szCs w:val="24"/>
        </w:rPr>
        <w:t xml:space="preserve"> la réduction des émissions de </w:t>
      </w:r>
      <w:r w:rsidR="00855C68">
        <w:rPr>
          <w:rFonts w:ascii="Calibri" w:eastAsia="Calibri" w:hAnsi="Calibri" w:cs="Calibri"/>
          <w:sz w:val="24"/>
          <w:szCs w:val="24"/>
        </w:rPr>
        <w:t>GES</w:t>
      </w:r>
      <w:r>
        <w:rPr>
          <w:rFonts w:ascii="Calibri" w:eastAsia="Calibri" w:hAnsi="Calibri" w:cs="Calibri"/>
          <w:sz w:val="24"/>
          <w:szCs w:val="24"/>
        </w:rPr>
        <w:t xml:space="preserve"> et en particulier de carbone équivalent.</w:t>
      </w:r>
    </w:p>
    <w:p w14:paraId="37A2C8E2" w14:textId="77777777" w:rsidR="00855C68" w:rsidRDefault="0002754C" w:rsidP="00855C68">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Dans le scenario inconditionnel, l’exécution des projets et programmes inscrits dans la CDN a permis de séquestrer </w:t>
      </w:r>
      <w:r w:rsidRPr="00855C68">
        <w:rPr>
          <w:rFonts w:ascii="Calibri" w:eastAsia="Calibri" w:hAnsi="Calibri" w:cs="Calibri"/>
          <w:b/>
          <w:bCs/>
          <w:sz w:val="24"/>
          <w:szCs w:val="24"/>
        </w:rPr>
        <w:t>- 4 718 138 TéqCO2</w:t>
      </w:r>
      <w:r>
        <w:rPr>
          <w:rFonts w:ascii="Calibri" w:eastAsia="Calibri" w:hAnsi="Calibri" w:cs="Calibri"/>
          <w:sz w:val="24"/>
          <w:szCs w:val="24"/>
        </w:rPr>
        <w:t xml:space="preserve"> dont</w:t>
      </w:r>
      <w:r w:rsidR="00855C68">
        <w:rPr>
          <w:rFonts w:ascii="Calibri" w:eastAsia="Calibri" w:hAnsi="Calibri" w:cs="Calibri"/>
          <w:sz w:val="24"/>
          <w:szCs w:val="24"/>
        </w:rPr>
        <w:t> :</w:t>
      </w:r>
    </w:p>
    <w:p w14:paraId="3BB8B5EE" w14:textId="6021164A" w:rsidR="00855C68" w:rsidRPr="00855C68" w:rsidRDefault="0002754C" w:rsidP="004C15D3">
      <w:pPr>
        <w:pStyle w:val="ListParagraph"/>
        <w:numPr>
          <w:ilvl w:val="0"/>
          <w:numId w:val="33"/>
        </w:numPr>
        <w:spacing w:after="0" w:line="240" w:lineRule="auto"/>
        <w:ind w:left="142" w:hanging="142"/>
        <w:jc w:val="both"/>
        <w:rPr>
          <w:rFonts w:ascii="Calibri" w:eastAsia="Calibri" w:hAnsi="Calibri" w:cs="Calibri"/>
          <w:sz w:val="24"/>
          <w:szCs w:val="24"/>
        </w:rPr>
      </w:pPr>
      <w:r w:rsidRPr="00855C68">
        <w:rPr>
          <w:rFonts w:ascii="Calibri" w:eastAsia="Calibri" w:hAnsi="Calibri" w:cs="Calibri"/>
          <w:sz w:val="24"/>
          <w:szCs w:val="24"/>
        </w:rPr>
        <w:t xml:space="preserve">3 919 </w:t>
      </w:r>
      <w:r w:rsidR="004C15D3">
        <w:rPr>
          <w:rFonts w:ascii="Calibri" w:eastAsia="Calibri" w:hAnsi="Calibri" w:cs="Calibri"/>
          <w:sz w:val="24"/>
          <w:szCs w:val="24"/>
        </w:rPr>
        <w:t xml:space="preserve">Gg </w:t>
      </w:r>
      <w:r w:rsidRPr="00855C68">
        <w:rPr>
          <w:rFonts w:ascii="Calibri" w:eastAsia="Calibri" w:hAnsi="Calibri" w:cs="Calibri"/>
          <w:sz w:val="24"/>
          <w:szCs w:val="24"/>
        </w:rPr>
        <w:t xml:space="preserve">éqCO2 pour les projets de Gestion Décentralisée des Forêts et Espaces Boisés </w:t>
      </w:r>
    </w:p>
    <w:p w14:paraId="7B7BD234" w14:textId="7060FA55" w:rsidR="00855C68" w:rsidRPr="00855C68" w:rsidRDefault="0002754C" w:rsidP="004C15D3">
      <w:pPr>
        <w:pStyle w:val="ListParagraph"/>
        <w:numPr>
          <w:ilvl w:val="0"/>
          <w:numId w:val="32"/>
        </w:numPr>
        <w:spacing w:after="0" w:line="240" w:lineRule="auto"/>
        <w:ind w:left="142" w:hanging="142"/>
        <w:jc w:val="both"/>
        <w:rPr>
          <w:rFonts w:ascii="Calibri" w:eastAsia="Calibri" w:hAnsi="Calibri" w:cs="Calibri"/>
          <w:sz w:val="24"/>
          <w:szCs w:val="24"/>
        </w:rPr>
      </w:pPr>
      <w:r w:rsidRPr="00855C68">
        <w:rPr>
          <w:rFonts w:ascii="Calibri" w:eastAsia="Calibri" w:hAnsi="Calibri" w:cs="Calibri"/>
          <w:sz w:val="24"/>
          <w:szCs w:val="24"/>
        </w:rPr>
        <w:t xml:space="preserve">-436 </w:t>
      </w:r>
      <w:r w:rsidR="004C15D3">
        <w:rPr>
          <w:rFonts w:ascii="Calibri" w:eastAsia="Calibri" w:hAnsi="Calibri" w:cs="Calibri"/>
          <w:sz w:val="24"/>
          <w:szCs w:val="24"/>
        </w:rPr>
        <w:t xml:space="preserve">Gg </w:t>
      </w:r>
      <w:r w:rsidRPr="00855C68">
        <w:rPr>
          <w:rFonts w:ascii="Calibri" w:eastAsia="Calibri" w:hAnsi="Calibri" w:cs="Calibri"/>
          <w:sz w:val="24"/>
          <w:szCs w:val="24"/>
        </w:rPr>
        <w:t xml:space="preserve">éqCO2 pour les projets de Gestion participative des Forêts Classées pour la REDD+ </w:t>
      </w:r>
    </w:p>
    <w:p w14:paraId="11C0458A" w14:textId="77777777" w:rsidR="00855C68" w:rsidRPr="00855C68" w:rsidRDefault="0002754C" w:rsidP="004C15D3">
      <w:pPr>
        <w:pStyle w:val="ListParagraph"/>
        <w:numPr>
          <w:ilvl w:val="0"/>
          <w:numId w:val="32"/>
        </w:numPr>
        <w:spacing w:line="240" w:lineRule="auto"/>
        <w:ind w:left="142" w:hanging="142"/>
        <w:jc w:val="both"/>
        <w:rPr>
          <w:rFonts w:ascii="Calibri" w:eastAsia="Calibri" w:hAnsi="Calibri" w:cs="Calibri"/>
          <w:sz w:val="24"/>
          <w:szCs w:val="24"/>
        </w:rPr>
      </w:pPr>
      <w:r w:rsidRPr="00855C68">
        <w:rPr>
          <w:rFonts w:ascii="Calibri" w:eastAsia="Calibri" w:hAnsi="Calibri" w:cs="Calibri"/>
          <w:sz w:val="24"/>
          <w:szCs w:val="24"/>
        </w:rPr>
        <w:t xml:space="preserve">-33 903 TéqCO2 pour </w:t>
      </w:r>
      <w:r w:rsidRPr="00E4481A">
        <w:rPr>
          <w:rFonts w:ascii="Calibri" w:eastAsia="Calibri" w:hAnsi="Calibri" w:cs="Calibri"/>
          <w:sz w:val="24"/>
          <w:szCs w:val="24"/>
          <w:highlight w:val="red"/>
        </w:rPr>
        <w:t>PNB</w:t>
      </w:r>
      <w:r w:rsidRPr="00855C68">
        <w:rPr>
          <w:rFonts w:ascii="Calibri" w:eastAsia="Calibri" w:hAnsi="Calibri" w:cs="Calibri"/>
          <w:sz w:val="24"/>
          <w:szCs w:val="24"/>
        </w:rPr>
        <w:t xml:space="preserve">, -361 693 TéqCO2 pour Tilpaalga. </w:t>
      </w:r>
    </w:p>
    <w:p w14:paraId="5D3DFBC6" w14:textId="4D8F8EE4" w:rsidR="004936A4" w:rsidRDefault="0002754C">
      <w:pPr>
        <w:spacing w:line="240" w:lineRule="auto"/>
        <w:jc w:val="both"/>
        <w:rPr>
          <w:rFonts w:ascii="Calibri" w:eastAsia="Calibri" w:hAnsi="Calibri" w:cs="Calibri"/>
          <w:sz w:val="24"/>
          <w:szCs w:val="24"/>
        </w:rPr>
      </w:pPr>
      <w:r>
        <w:rPr>
          <w:rFonts w:ascii="Calibri" w:eastAsia="Calibri" w:hAnsi="Calibri" w:cs="Calibri"/>
          <w:sz w:val="24"/>
          <w:szCs w:val="24"/>
        </w:rPr>
        <w:lastRenderedPageBreak/>
        <w:t>Pour une cible de 4</w:t>
      </w:r>
      <w:r w:rsidR="004C15D3">
        <w:rPr>
          <w:rFonts w:ascii="Calibri" w:eastAsia="Calibri" w:hAnsi="Calibri" w:cs="Calibri"/>
          <w:sz w:val="24"/>
          <w:szCs w:val="24"/>
        </w:rPr>
        <w:t xml:space="preserve"> </w:t>
      </w:r>
      <w:r>
        <w:rPr>
          <w:rFonts w:ascii="Calibri" w:eastAsia="Calibri" w:hAnsi="Calibri" w:cs="Calibri"/>
          <w:sz w:val="24"/>
          <w:szCs w:val="24"/>
        </w:rPr>
        <w:t xml:space="preserve">809 Gg éqCO2 en 2020, le taux atteint est de </w:t>
      </w:r>
      <w:r w:rsidRPr="00855C68">
        <w:rPr>
          <w:rFonts w:ascii="Calibri" w:eastAsia="Calibri" w:hAnsi="Calibri" w:cs="Calibri"/>
          <w:b/>
          <w:bCs/>
          <w:sz w:val="24"/>
          <w:szCs w:val="24"/>
        </w:rPr>
        <w:t>98,8</w:t>
      </w:r>
      <w:r w:rsidR="004C15D3">
        <w:rPr>
          <w:rFonts w:ascii="Calibri" w:eastAsia="Calibri" w:hAnsi="Calibri" w:cs="Calibri"/>
          <w:b/>
          <w:bCs/>
          <w:sz w:val="24"/>
          <w:szCs w:val="24"/>
        </w:rPr>
        <w:t>%</w:t>
      </w:r>
      <w:r>
        <w:rPr>
          <w:rFonts w:ascii="Calibri" w:eastAsia="Calibri" w:hAnsi="Calibri" w:cs="Calibri"/>
          <w:sz w:val="24"/>
          <w:szCs w:val="24"/>
        </w:rPr>
        <w:t xml:space="preserve"> en 2020 ((4752,042/4809) *100)). Le carbone séquestré par le </w:t>
      </w:r>
      <w:r w:rsidRPr="00382182">
        <w:rPr>
          <w:rFonts w:ascii="Calibri" w:eastAsia="Calibri" w:hAnsi="Calibri" w:cs="Calibri"/>
          <w:sz w:val="24"/>
          <w:szCs w:val="24"/>
        </w:rPr>
        <w:t>PNB</w:t>
      </w:r>
      <w:r>
        <w:rPr>
          <w:rFonts w:ascii="Calibri" w:eastAsia="Calibri" w:hAnsi="Calibri" w:cs="Calibri"/>
          <w:sz w:val="24"/>
          <w:szCs w:val="24"/>
        </w:rPr>
        <w:t xml:space="preserve"> n’a pas été comptabilisé car </w:t>
      </w:r>
      <w:r w:rsidR="00855C68">
        <w:rPr>
          <w:rFonts w:ascii="Calibri" w:eastAsia="Calibri" w:hAnsi="Calibri" w:cs="Calibri"/>
          <w:sz w:val="24"/>
          <w:szCs w:val="24"/>
        </w:rPr>
        <w:t xml:space="preserve">il est </w:t>
      </w:r>
      <w:r>
        <w:rPr>
          <w:rFonts w:ascii="Calibri" w:eastAsia="Calibri" w:hAnsi="Calibri" w:cs="Calibri"/>
          <w:sz w:val="24"/>
          <w:szCs w:val="24"/>
        </w:rPr>
        <w:t>vendu sur le marché mondial</w:t>
      </w:r>
      <w:r w:rsidR="00527AD9">
        <w:rPr>
          <w:rFonts w:ascii="Calibri" w:eastAsia="Calibri" w:hAnsi="Calibri" w:cs="Calibri"/>
          <w:sz w:val="24"/>
          <w:szCs w:val="24"/>
        </w:rPr>
        <w:t xml:space="preserve"> des crédits carbones</w:t>
      </w:r>
      <w:r>
        <w:rPr>
          <w:rFonts w:ascii="Calibri" w:eastAsia="Calibri" w:hAnsi="Calibri" w:cs="Calibri"/>
          <w:sz w:val="24"/>
          <w:szCs w:val="24"/>
        </w:rPr>
        <w:t>.</w:t>
      </w:r>
    </w:p>
    <w:p w14:paraId="2DF0B42C" w14:textId="12D6A8DD" w:rsidR="004936A4" w:rsidRDefault="0002754C">
      <w:pPr>
        <w:spacing w:line="240" w:lineRule="auto"/>
        <w:jc w:val="both"/>
        <w:rPr>
          <w:rFonts w:ascii="Calibri" w:eastAsia="Calibri" w:hAnsi="Calibri" w:cs="Calibri"/>
          <w:b/>
          <w:bCs/>
          <w:sz w:val="24"/>
          <w:szCs w:val="24"/>
        </w:rPr>
      </w:pPr>
      <w:r>
        <w:rPr>
          <w:rFonts w:ascii="Calibri" w:eastAsia="Calibri" w:hAnsi="Calibri" w:cs="Calibri"/>
          <w:sz w:val="24"/>
          <w:szCs w:val="24"/>
        </w:rPr>
        <w:t>Les projets et programmes du scénario conditionnel ont été partiellement exécutés et ont seulement permis de séquestrer 2</w:t>
      </w:r>
      <w:r w:rsidR="00855C68">
        <w:rPr>
          <w:rFonts w:ascii="Calibri" w:eastAsia="Calibri" w:hAnsi="Calibri" w:cs="Calibri"/>
          <w:sz w:val="24"/>
          <w:szCs w:val="24"/>
        </w:rPr>
        <w:t xml:space="preserve"> </w:t>
      </w:r>
      <w:r>
        <w:rPr>
          <w:rFonts w:ascii="Calibri" w:eastAsia="Calibri" w:hAnsi="Calibri" w:cs="Calibri"/>
          <w:sz w:val="24"/>
          <w:szCs w:val="24"/>
        </w:rPr>
        <w:t xml:space="preserve">605 </w:t>
      </w:r>
      <w:r w:rsidR="00855C68">
        <w:rPr>
          <w:rFonts w:ascii="Calibri" w:eastAsia="Calibri" w:hAnsi="Calibri" w:cs="Calibri"/>
          <w:sz w:val="24"/>
          <w:szCs w:val="24"/>
        </w:rPr>
        <w:t xml:space="preserve">Gg </w:t>
      </w:r>
      <w:r>
        <w:rPr>
          <w:rFonts w:ascii="Calibri" w:eastAsia="Calibri" w:hAnsi="Calibri" w:cs="Calibri"/>
          <w:sz w:val="24"/>
          <w:szCs w:val="24"/>
        </w:rPr>
        <w:t>éqCO2. Pour une cible de 10</w:t>
      </w:r>
      <w:r w:rsidR="00855C68">
        <w:rPr>
          <w:rFonts w:ascii="Calibri" w:eastAsia="Calibri" w:hAnsi="Calibri" w:cs="Calibri"/>
          <w:sz w:val="24"/>
          <w:szCs w:val="24"/>
        </w:rPr>
        <w:t xml:space="preserve"> </w:t>
      </w:r>
      <w:r>
        <w:rPr>
          <w:rFonts w:ascii="Calibri" w:eastAsia="Calibri" w:hAnsi="Calibri" w:cs="Calibri"/>
          <w:sz w:val="24"/>
          <w:szCs w:val="24"/>
        </w:rPr>
        <w:t xml:space="preserve">560 Gg éqCO2, le taux atteint est de </w:t>
      </w:r>
      <w:r w:rsidRPr="00855C68">
        <w:rPr>
          <w:rFonts w:ascii="Calibri" w:eastAsia="Calibri" w:hAnsi="Calibri" w:cs="Calibri"/>
          <w:b/>
          <w:bCs/>
          <w:sz w:val="24"/>
          <w:szCs w:val="24"/>
        </w:rPr>
        <w:t>24,7%.</w:t>
      </w:r>
    </w:p>
    <w:p w14:paraId="6A85AB8F" w14:textId="77777777" w:rsidR="004C15D3" w:rsidRDefault="004C15D3" w:rsidP="00855C68">
      <w:pPr>
        <w:pStyle w:val="Heading3"/>
        <w:rPr>
          <w:rFonts w:eastAsia="Calibri"/>
        </w:rPr>
      </w:pPr>
    </w:p>
    <w:p w14:paraId="063CBC47" w14:textId="300FD5B1" w:rsidR="004936A4" w:rsidRDefault="0002754C" w:rsidP="003A7A3F">
      <w:pPr>
        <w:pStyle w:val="Heading3"/>
        <w:jc w:val="both"/>
        <w:rPr>
          <w:rFonts w:ascii="Calibri" w:eastAsia="Calibri" w:hAnsi="Calibri" w:cs="Calibri"/>
          <w:b/>
          <w:sz w:val="24"/>
          <w:szCs w:val="24"/>
        </w:rPr>
      </w:pPr>
      <w:r w:rsidRPr="00855C68">
        <w:rPr>
          <w:rFonts w:eastAsia="Calibri"/>
        </w:rPr>
        <w:t>III.1.2. Bilan carbone des projets du domaine AFOLU du scénario adaptation intégré</w:t>
      </w:r>
    </w:p>
    <w:p w14:paraId="630F9D6C" w14:textId="610C11E0" w:rsidR="004936A4" w:rsidRDefault="0002754C">
      <w:pPr>
        <w:spacing w:line="240" w:lineRule="auto"/>
        <w:jc w:val="both"/>
        <w:rPr>
          <w:rFonts w:ascii="Calibri" w:eastAsia="Calibri" w:hAnsi="Calibri" w:cs="Calibri"/>
          <w:sz w:val="24"/>
          <w:szCs w:val="24"/>
        </w:rPr>
      </w:pPr>
      <w:r>
        <w:rPr>
          <w:rFonts w:ascii="Calibri" w:eastAsia="Calibri" w:hAnsi="Calibri" w:cs="Calibri"/>
          <w:sz w:val="24"/>
          <w:szCs w:val="24"/>
        </w:rPr>
        <w:t xml:space="preserve">Le scénario Adaptation vise entre autres à restaurer et aménager 5,055 millions d’ha de terres dégradées à l’horizon 2030, </w:t>
      </w:r>
      <w:r w:rsidR="00527AD9">
        <w:rPr>
          <w:rFonts w:ascii="Calibri" w:eastAsia="Calibri" w:hAnsi="Calibri" w:cs="Calibri"/>
          <w:sz w:val="24"/>
          <w:szCs w:val="24"/>
        </w:rPr>
        <w:t xml:space="preserve">au profit des hommes et des femmes, </w:t>
      </w:r>
      <w:r>
        <w:rPr>
          <w:rFonts w:ascii="Calibri" w:eastAsia="Calibri" w:hAnsi="Calibri" w:cs="Calibri"/>
          <w:sz w:val="24"/>
          <w:szCs w:val="24"/>
        </w:rPr>
        <w:t>correspondant à 55% de la superficie totale actuelle des terres dégradées pour nourrir près de 6 millions de personnes supplémentaires à l’horizon 2030. Ces projets d’adaptation devraient contribuer à réduire les émissions de GES de 43 707Gg de CO2, soit 36,95 % par référence au BaU, pour un investissement total d</w:t>
      </w:r>
      <w:r w:rsidR="00855C68">
        <w:rPr>
          <w:rFonts w:ascii="Calibri" w:eastAsia="Calibri" w:hAnsi="Calibri" w:cs="Calibri"/>
          <w:sz w:val="24"/>
          <w:szCs w:val="24"/>
        </w:rPr>
        <w:t>e m</w:t>
      </w:r>
      <w:r>
        <w:rPr>
          <w:rFonts w:ascii="Calibri" w:eastAsia="Calibri" w:hAnsi="Calibri" w:cs="Calibri"/>
          <w:sz w:val="24"/>
          <w:szCs w:val="24"/>
        </w:rPr>
        <w:t>US</w:t>
      </w:r>
      <w:r w:rsidR="0039309E">
        <w:rPr>
          <w:rFonts w:ascii="Calibri" w:eastAsia="Calibri" w:hAnsi="Calibri" w:cs="Calibri"/>
          <w:sz w:val="24"/>
          <w:szCs w:val="24"/>
        </w:rPr>
        <w:t>D</w:t>
      </w:r>
      <w:r>
        <w:rPr>
          <w:rFonts w:ascii="Calibri" w:eastAsia="Calibri" w:hAnsi="Calibri" w:cs="Calibri"/>
          <w:sz w:val="24"/>
          <w:szCs w:val="24"/>
        </w:rPr>
        <w:t xml:space="preserve"> 5</w:t>
      </w:r>
      <w:r w:rsidR="00855C68">
        <w:rPr>
          <w:rFonts w:ascii="Calibri" w:eastAsia="Calibri" w:hAnsi="Calibri" w:cs="Calibri"/>
          <w:sz w:val="24"/>
          <w:szCs w:val="24"/>
        </w:rPr>
        <w:t>.</w:t>
      </w:r>
      <w:r>
        <w:rPr>
          <w:rFonts w:ascii="Calibri" w:eastAsia="Calibri" w:hAnsi="Calibri" w:cs="Calibri"/>
          <w:sz w:val="24"/>
          <w:szCs w:val="24"/>
        </w:rPr>
        <w:t>8</w:t>
      </w:r>
      <w:r w:rsidR="00C8149B">
        <w:rPr>
          <w:rFonts w:ascii="Calibri" w:eastAsia="Calibri" w:hAnsi="Calibri" w:cs="Calibri"/>
          <w:sz w:val="24"/>
          <w:szCs w:val="24"/>
        </w:rPr>
        <w:t>.</w:t>
      </w:r>
    </w:p>
    <w:p w14:paraId="38AC6B94" w14:textId="2E44D3BA" w:rsidR="004936A4" w:rsidRDefault="0002754C">
      <w:pPr>
        <w:spacing w:line="240" w:lineRule="auto"/>
        <w:jc w:val="both"/>
        <w:rPr>
          <w:rFonts w:ascii="Calibri" w:eastAsia="Calibri" w:hAnsi="Calibri" w:cs="Calibri"/>
          <w:sz w:val="24"/>
          <w:szCs w:val="24"/>
        </w:rPr>
      </w:pPr>
      <w:r>
        <w:rPr>
          <w:rFonts w:ascii="Calibri" w:eastAsia="Calibri" w:hAnsi="Calibri" w:cs="Calibri"/>
          <w:sz w:val="24"/>
          <w:szCs w:val="24"/>
        </w:rPr>
        <w:t>Les projets du scénario « adaptation intégrée » ont été formulés avec pour objectif premier d’accroître la résilience des populations face aux effets du changement climatique</w:t>
      </w:r>
      <w:r w:rsidR="00527AD9">
        <w:rPr>
          <w:rFonts w:ascii="Calibri" w:eastAsia="Calibri" w:hAnsi="Calibri" w:cs="Calibri"/>
          <w:sz w:val="24"/>
          <w:szCs w:val="24"/>
        </w:rPr>
        <w:t xml:space="preserve"> et en tenant compte des impacts différenciés entre les hommes et les femmes</w:t>
      </w:r>
      <w:r>
        <w:rPr>
          <w:rFonts w:ascii="Calibri" w:eastAsia="Calibri" w:hAnsi="Calibri" w:cs="Calibri"/>
          <w:sz w:val="24"/>
          <w:szCs w:val="24"/>
        </w:rPr>
        <w:t>. Toutefois, en plus de leurs effets d’adaptation des populations, leurs réalisations séquestrent également du carbone, contribuant ainsi aux efforts d’atténuation.</w:t>
      </w:r>
      <w:r w:rsidR="004C15D3">
        <w:rPr>
          <w:rFonts w:ascii="Calibri" w:eastAsia="Calibri" w:hAnsi="Calibri" w:cs="Calibri"/>
          <w:sz w:val="24"/>
          <w:szCs w:val="24"/>
        </w:rPr>
        <w:t xml:space="preserve"> </w:t>
      </w:r>
      <w:r>
        <w:rPr>
          <w:rFonts w:ascii="Calibri" w:eastAsia="Calibri" w:hAnsi="Calibri" w:cs="Calibri"/>
          <w:sz w:val="24"/>
          <w:szCs w:val="24"/>
        </w:rPr>
        <w:t xml:space="preserve">La plupart des projets du domaine agriculture foresterie-utilisation des terres (AFOLU) s’inscrivent dans ce scénario. Sur les 64 projets recensés, 34, disposant de données suffisantes permettant de calculer leur contribution à la réduction des GES, ont permis de séquestrer -38 897,95 Gg CO2eq. </w:t>
      </w:r>
    </w:p>
    <w:p w14:paraId="49A7E422" w14:textId="77777777" w:rsidR="004936A4" w:rsidRDefault="0002754C" w:rsidP="00064549">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De manière globale les projets évalués, avec leurs différentes interventions, permettent d’éviter des émissions de carbones. </w:t>
      </w:r>
    </w:p>
    <w:p w14:paraId="390CF0B0" w14:textId="77777777" w:rsidR="009C3314" w:rsidRDefault="009C3314">
      <w:pPr>
        <w:spacing w:line="240" w:lineRule="auto"/>
        <w:jc w:val="both"/>
        <w:rPr>
          <w:rFonts w:ascii="Calibri" w:eastAsia="Calibri" w:hAnsi="Calibri" w:cs="Calibri"/>
          <w:sz w:val="24"/>
          <w:szCs w:val="24"/>
        </w:rPr>
      </w:pPr>
    </w:p>
    <w:p w14:paraId="7BAEDBDB" w14:textId="5487FDE1" w:rsidR="004C15D3" w:rsidRDefault="0002754C" w:rsidP="004C15D3">
      <w:pPr>
        <w:pStyle w:val="Heading2"/>
        <w:rPr>
          <w:rFonts w:eastAsia="Calibri"/>
        </w:rPr>
      </w:pPr>
      <w:r w:rsidRPr="004C15D3">
        <w:rPr>
          <w:rFonts w:eastAsia="Calibri"/>
        </w:rPr>
        <w:t>III.2. Bilan carbone des projets et programmes du domaine Energie</w:t>
      </w:r>
    </w:p>
    <w:p w14:paraId="3C172E1F" w14:textId="77777777" w:rsidR="005550EC" w:rsidRDefault="005550EC" w:rsidP="004C15D3">
      <w:pPr>
        <w:pStyle w:val="Heading3"/>
        <w:rPr>
          <w:rFonts w:eastAsia="Calibri"/>
        </w:rPr>
      </w:pPr>
    </w:p>
    <w:p w14:paraId="7D7A652E" w14:textId="50B1D7EC" w:rsidR="004936A4" w:rsidRPr="004C15D3" w:rsidRDefault="0002754C" w:rsidP="00A50AD0">
      <w:pPr>
        <w:pStyle w:val="Heading3"/>
        <w:jc w:val="both"/>
        <w:rPr>
          <w:rFonts w:eastAsia="Calibri"/>
        </w:rPr>
      </w:pPr>
      <w:r w:rsidRPr="004C15D3">
        <w:rPr>
          <w:rFonts w:eastAsia="Calibri"/>
        </w:rPr>
        <w:t>III.2.1. Prévisions d’atténuation du secteur énergie dans la CDN 2015 du B</w:t>
      </w:r>
      <w:r w:rsidR="00F63957">
        <w:rPr>
          <w:rFonts w:eastAsia="Calibri"/>
        </w:rPr>
        <w:t xml:space="preserve">urkina </w:t>
      </w:r>
      <w:r w:rsidRPr="004C15D3">
        <w:rPr>
          <w:rFonts w:eastAsia="Calibri"/>
        </w:rPr>
        <w:t>F</w:t>
      </w:r>
      <w:r w:rsidR="00F63957">
        <w:rPr>
          <w:rFonts w:eastAsia="Calibri"/>
        </w:rPr>
        <w:t>aso</w:t>
      </w:r>
    </w:p>
    <w:p w14:paraId="1E542D24" w14:textId="2584B0FB" w:rsidR="004936A4" w:rsidRDefault="0002754C" w:rsidP="005550EC">
      <w:pPr>
        <w:spacing w:after="0" w:line="240" w:lineRule="auto"/>
        <w:jc w:val="both"/>
        <w:rPr>
          <w:rFonts w:ascii="Calibri" w:eastAsia="Calibri" w:hAnsi="Calibri" w:cs="Calibri"/>
          <w:sz w:val="24"/>
          <w:szCs w:val="24"/>
        </w:rPr>
      </w:pPr>
      <w:r>
        <w:rPr>
          <w:rFonts w:ascii="Calibri" w:eastAsia="Calibri" w:hAnsi="Calibri" w:cs="Calibri"/>
          <w:sz w:val="24"/>
          <w:szCs w:val="24"/>
        </w:rPr>
        <w:t>A l’horizon 2020, l’évaluation globale tendancielle de l’état des GES de la CDN donnait 1 828 Gg d’émission de CO2 par eq pour le volet énergie, regroupant les tendances production d’électricité, industries manufacturières, et résidentiel soit 2% des émissions totales de GES du B</w:t>
      </w:r>
      <w:r w:rsidR="00A50AD0">
        <w:rPr>
          <w:rFonts w:ascii="Calibri" w:eastAsia="Calibri" w:hAnsi="Calibri" w:cs="Calibri"/>
          <w:sz w:val="24"/>
          <w:szCs w:val="24"/>
        </w:rPr>
        <w:t>urkina Faso</w:t>
      </w:r>
      <w:r>
        <w:rPr>
          <w:rFonts w:ascii="Calibri" w:eastAsia="Calibri" w:hAnsi="Calibri" w:cs="Calibri"/>
          <w:sz w:val="24"/>
          <w:szCs w:val="24"/>
        </w:rPr>
        <w:t>. Les efforts du Burkina Faso, à travers les projets d’atténuation, projetaient les scenarii de réductions de GES suivants :</w:t>
      </w:r>
    </w:p>
    <w:p w14:paraId="1E548676" w14:textId="64698D8E" w:rsidR="004936A4" w:rsidRDefault="0002754C" w:rsidP="005550EC">
      <w:pPr>
        <w:numPr>
          <w:ilvl w:val="0"/>
          <w:numId w:val="34"/>
        </w:numPr>
        <w:pBdr>
          <w:top w:val="nil"/>
          <w:left w:val="nil"/>
          <w:bottom w:val="nil"/>
          <w:right w:val="nil"/>
          <w:between w:val="nil"/>
        </w:pBdr>
        <w:spacing w:after="0" w:line="240" w:lineRule="auto"/>
        <w:ind w:left="142" w:hanging="142"/>
        <w:jc w:val="both"/>
        <w:rPr>
          <w:rFonts w:ascii="Calibri" w:eastAsia="Calibri" w:hAnsi="Calibri" w:cs="Calibri"/>
          <w:color w:val="000000"/>
          <w:sz w:val="24"/>
          <w:szCs w:val="24"/>
        </w:rPr>
      </w:pPr>
      <w:r>
        <w:rPr>
          <w:rFonts w:ascii="Calibri" w:eastAsia="Calibri" w:hAnsi="Calibri" w:cs="Calibri"/>
          <w:color w:val="000000"/>
          <w:sz w:val="24"/>
          <w:szCs w:val="24"/>
        </w:rPr>
        <w:t>18% pour le scénario inconditionnel (19,6% production d’électricité, 8,1% résidentiel et 3% industries manufacturières), 22 projets inconditionnels concouraient pour atteindre ce résultat ;</w:t>
      </w:r>
    </w:p>
    <w:p w14:paraId="2BB7222D" w14:textId="77777777" w:rsidR="004936A4" w:rsidRDefault="0002754C" w:rsidP="004C15D3">
      <w:pPr>
        <w:numPr>
          <w:ilvl w:val="0"/>
          <w:numId w:val="34"/>
        </w:numPr>
        <w:pBdr>
          <w:top w:val="nil"/>
          <w:left w:val="nil"/>
          <w:bottom w:val="nil"/>
          <w:right w:val="nil"/>
          <w:between w:val="nil"/>
        </w:pBdr>
        <w:spacing w:after="0" w:line="240" w:lineRule="auto"/>
        <w:ind w:left="142" w:hanging="142"/>
        <w:jc w:val="both"/>
        <w:rPr>
          <w:rFonts w:ascii="Calibri" w:eastAsia="Calibri" w:hAnsi="Calibri" w:cs="Calibri"/>
          <w:color w:val="000000"/>
          <w:sz w:val="24"/>
          <w:szCs w:val="24"/>
        </w:rPr>
      </w:pPr>
      <w:r>
        <w:rPr>
          <w:rFonts w:ascii="Calibri" w:eastAsia="Calibri" w:hAnsi="Calibri" w:cs="Calibri"/>
          <w:color w:val="000000"/>
          <w:sz w:val="24"/>
          <w:szCs w:val="24"/>
        </w:rPr>
        <w:t>6,2% pour le scénario conditionnel (5% production électricité, 8% résidentiel et 2% industries manufacturières), 8 axes de projets conditionnels concouraient pour atteindre ce résultat.</w:t>
      </w:r>
    </w:p>
    <w:p w14:paraId="2BA6F2DD" w14:textId="77777777" w:rsidR="004936A4" w:rsidRDefault="004936A4">
      <w:pPr>
        <w:pBdr>
          <w:top w:val="nil"/>
          <w:left w:val="nil"/>
          <w:bottom w:val="nil"/>
          <w:right w:val="nil"/>
          <w:between w:val="nil"/>
        </w:pBdr>
        <w:spacing w:line="240" w:lineRule="auto"/>
        <w:ind w:left="360"/>
        <w:jc w:val="both"/>
        <w:rPr>
          <w:rFonts w:ascii="Calibri" w:eastAsia="Calibri" w:hAnsi="Calibri" w:cs="Calibri"/>
          <w:color w:val="000000"/>
          <w:sz w:val="24"/>
          <w:szCs w:val="24"/>
        </w:rPr>
      </w:pPr>
    </w:p>
    <w:p w14:paraId="3EBFCBF2" w14:textId="77777777" w:rsidR="004936A4" w:rsidRPr="004C15D3" w:rsidRDefault="0002754C" w:rsidP="00A50AD0">
      <w:pPr>
        <w:pStyle w:val="Heading3"/>
        <w:jc w:val="both"/>
        <w:rPr>
          <w:rFonts w:eastAsia="Calibri"/>
        </w:rPr>
      </w:pPr>
      <w:r w:rsidRPr="004C15D3">
        <w:rPr>
          <w:rFonts w:eastAsia="Calibri"/>
        </w:rPr>
        <w:t xml:space="preserve">III.2.2. Evaluation quantitative du secteur énergie de la CDN après 5 ans de mise en œuvre </w:t>
      </w:r>
    </w:p>
    <w:p w14:paraId="18E4485E" w14:textId="46A60394" w:rsidR="004936A4" w:rsidRDefault="0002754C">
      <w:pPr>
        <w:spacing w:line="240" w:lineRule="auto"/>
        <w:jc w:val="both"/>
        <w:rPr>
          <w:rFonts w:ascii="Calibri" w:eastAsia="Calibri" w:hAnsi="Calibri" w:cs="Calibri"/>
          <w:sz w:val="24"/>
          <w:szCs w:val="24"/>
        </w:rPr>
      </w:pPr>
      <w:r>
        <w:rPr>
          <w:rFonts w:ascii="Calibri" w:eastAsia="Calibri" w:hAnsi="Calibri" w:cs="Calibri"/>
          <w:sz w:val="24"/>
          <w:szCs w:val="24"/>
        </w:rPr>
        <w:t>Dans le domaine de l’énergie, les cibles de la CDN n’ont pas été atteintes, car sur les 34 projets évalués, seulement 9 ont abouti. En termes de réduction de GES, sur un total de 443,21 GgCO2eq prévues en 2015, 172,02 GgCO2eq de réduction a été réalisé à la date du 31 décembre 2019 ; soit 38,8% des prévisions.  Ainsi, ce volet constitue un point d’attention pour la future CDN</w:t>
      </w:r>
      <w:r w:rsidR="00D32265">
        <w:rPr>
          <w:rFonts w:ascii="Calibri" w:eastAsia="Calibri" w:hAnsi="Calibri" w:cs="Calibri"/>
          <w:sz w:val="24"/>
          <w:szCs w:val="24"/>
        </w:rPr>
        <w:t>.</w:t>
      </w:r>
      <w:r>
        <w:rPr>
          <w:rFonts w:ascii="Calibri" w:eastAsia="Calibri" w:hAnsi="Calibri" w:cs="Calibri"/>
          <w:sz w:val="24"/>
          <w:szCs w:val="24"/>
        </w:rPr>
        <w:t xml:space="preserve"> </w:t>
      </w:r>
    </w:p>
    <w:p w14:paraId="76313AF3" w14:textId="77777777" w:rsidR="00C03A01" w:rsidRDefault="00C03A01">
      <w:pPr>
        <w:spacing w:line="240" w:lineRule="auto"/>
        <w:jc w:val="both"/>
        <w:rPr>
          <w:rFonts w:asciiTheme="majorHAnsi" w:eastAsia="Calibri" w:hAnsiTheme="majorHAnsi" w:cstheme="majorBidi"/>
          <w:color w:val="3E7718" w:themeColor="accent2" w:themeShade="BF"/>
          <w:sz w:val="28"/>
          <w:szCs w:val="28"/>
        </w:rPr>
      </w:pPr>
    </w:p>
    <w:p w14:paraId="08B8EA36" w14:textId="2ADDD4DD" w:rsidR="004936A4" w:rsidRPr="004C15D3" w:rsidRDefault="009C3314">
      <w:pPr>
        <w:spacing w:line="240" w:lineRule="auto"/>
        <w:jc w:val="both"/>
        <w:rPr>
          <w:rFonts w:asciiTheme="majorHAnsi" w:eastAsia="Calibri" w:hAnsiTheme="majorHAnsi" w:cstheme="majorBidi"/>
          <w:color w:val="3E7718" w:themeColor="accent2" w:themeShade="BF"/>
          <w:sz w:val="28"/>
          <w:szCs w:val="28"/>
        </w:rPr>
      </w:pPr>
      <w:r>
        <w:rPr>
          <w:rFonts w:asciiTheme="majorHAnsi" w:eastAsia="Calibri" w:hAnsiTheme="majorHAnsi" w:cstheme="majorBidi"/>
          <w:color w:val="3E7718" w:themeColor="accent2" w:themeShade="BF"/>
          <w:sz w:val="28"/>
          <w:szCs w:val="28"/>
        </w:rPr>
        <w:br/>
      </w:r>
      <w:r w:rsidRPr="004C15D3">
        <w:rPr>
          <w:rFonts w:asciiTheme="majorHAnsi" w:eastAsia="Calibri" w:hAnsiTheme="majorHAnsi" w:cstheme="majorBidi"/>
          <w:color w:val="3E7718" w:themeColor="accent2" w:themeShade="BF"/>
          <w:sz w:val="28"/>
          <w:szCs w:val="28"/>
        </w:rPr>
        <w:t>III.3</w:t>
      </w:r>
      <w:r w:rsidR="004D06F0">
        <w:rPr>
          <w:rFonts w:asciiTheme="majorHAnsi" w:eastAsia="Calibri" w:hAnsiTheme="majorHAnsi" w:cstheme="majorBidi"/>
          <w:color w:val="3E7718" w:themeColor="accent2" w:themeShade="BF"/>
          <w:sz w:val="28"/>
          <w:szCs w:val="28"/>
        </w:rPr>
        <w:t>.</w:t>
      </w:r>
      <w:r w:rsidRPr="004C15D3">
        <w:rPr>
          <w:rFonts w:asciiTheme="majorHAnsi" w:eastAsia="Calibri" w:hAnsiTheme="majorHAnsi" w:cstheme="majorBidi"/>
          <w:color w:val="3E7718" w:themeColor="accent2" w:themeShade="BF"/>
          <w:sz w:val="28"/>
          <w:szCs w:val="28"/>
        </w:rPr>
        <w:t xml:space="preserve"> Bilan carbone des projets et programmes du domaine transport</w:t>
      </w:r>
    </w:p>
    <w:p w14:paraId="38FDC59A" w14:textId="03E5C428" w:rsidR="004936A4" w:rsidRDefault="0002754C">
      <w:pPr>
        <w:spacing w:line="240" w:lineRule="auto"/>
        <w:jc w:val="both"/>
        <w:rPr>
          <w:rFonts w:ascii="Calibri" w:eastAsia="Calibri" w:hAnsi="Calibri" w:cs="Calibri"/>
          <w:sz w:val="24"/>
          <w:szCs w:val="24"/>
        </w:rPr>
      </w:pPr>
      <w:r>
        <w:rPr>
          <w:rFonts w:ascii="Calibri" w:eastAsia="Calibri" w:hAnsi="Calibri" w:cs="Calibri"/>
          <w:sz w:val="24"/>
          <w:szCs w:val="24"/>
        </w:rPr>
        <w:t>Sans intervention</w:t>
      </w:r>
      <w:r w:rsidR="004C15D3">
        <w:rPr>
          <w:rFonts w:ascii="Calibri" w:eastAsia="Calibri" w:hAnsi="Calibri" w:cs="Calibri"/>
          <w:sz w:val="24"/>
          <w:szCs w:val="24"/>
        </w:rPr>
        <w:t xml:space="preserve"> </w:t>
      </w:r>
      <w:r>
        <w:rPr>
          <w:rFonts w:ascii="Calibri" w:eastAsia="Calibri" w:hAnsi="Calibri" w:cs="Calibri"/>
          <w:sz w:val="24"/>
          <w:szCs w:val="24"/>
        </w:rPr>
        <w:t>(scenario tendanciel)</w:t>
      </w:r>
      <w:r w:rsidR="004C15D3">
        <w:rPr>
          <w:rFonts w:ascii="Calibri" w:eastAsia="Calibri" w:hAnsi="Calibri" w:cs="Calibri"/>
          <w:sz w:val="24"/>
          <w:szCs w:val="24"/>
        </w:rPr>
        <w:t xml:space="preserve">, </w:t>
      </w:r>
      <w:r>
        <w:rPr>
          <w:rFonts w:ascii="Calibri" w:eastAsia="Calibri" w:hAnsi="Calibri" w:cs="Calibri"/>
          <w:sz w:val="24"/>
          <w:szCs w:val="24"/>
        </w:rPr>
        <w:t>les émissions de CO2 d</w:t>
      </w:r>
      <w:r w:rsidR="004C15D3">
        <w:rPr>
          <w:rFonts w:ascii="Calibri" w:eastAsia="Calibri" w:hAnsi="Calibri" w:cs="Calibri"/>
          <w:sz w:val="24"/>
          <w:szCs w:val="24"/>
        </w:rPr>
        <w:t>u</w:t>
      </w:r>
      <w:r>
        <w:rPr>
          <w:rFonts w:ascii="Calibri" w:eastAsia="Calibri" w:hAnsi="Calibri" w:cs="Calibri"/>
          <w:sz w:val="24"/>
          <w:szCs w:val="24"/>
        </w:rPr>
        <w:t xml:space="preserve"> secteur des transports devraient continuer à croitre de manière substantielle pour se situer à 4 110Gg en 2025 et 6925Gg en 2030. </w:t>
      </w:r>
      <w:r w:rsidR="00357FB1">
        <w:rPr>
          <w:rFonts w:ascii="Calibri" w:eastAsia="Calibri" w:hAnsi="Calibri" w:cs="Calibri"/>
          <w:sz w:val="24"/>
          <w:szCs w:val="24"/>
        </w:rPr>
        <w:t>Il s’agit de</w:t>
      </w:r>
      <w:r>
        <w:rPr>
          <w:rFonts w:ascii="Calibri" w:eastAsia="Calibri" w:hAnsi="Calibri" w:cs="Calibri"/>
          <w:sz w:val="24"/>
          <w:szCs w:val="24"/>
        </w:rPr>
        <w:t xml:space="preserve"> la plus forte contribution de GES après le secteur de l’agriculture.</w:t>
      </w:r>
    </w:p>
    <w:p w14:paraId="7A927052" w14:textId="540BACED" w:rsidR="004936A4" w:rsidRDefault="0002754C">
      <w:pPr>
        <w:spacing w:line="240" w:lineRule="auto"/>
        <w:jc w:val="both"/>
        <w:rPr>
          <w:rFonts w:ascii="Calibri" w:eastAsia="Calibri" w:hAnsi="Calibri" w:cs="Calibri"/>
          <w:sz w:val="24"/>
          <w:szCs w:val="24"/>
        </w:rPr>
      </w:pPr>
      <w:r>
        <w:rPr>
          <w:rFonts w:ascii="Calibri" w:eastAsia="Calibri" w:hAnsi="Calibri" w:cs="Calibri"/>
          <w:sz w:val="24"/>
          <w:szCs w:val="24"/>
        </w:rPr>
        <w:t xml:space="preserve">Pour atténuer ces émissions dans les transports selon le scénario inconditionnels, le « projet de Transfert modal » et le « projet de renforcement du projet </w:t>
      </w:r>
      <w:r w:rsidR="00D32265">
        <w:rPr>
          <w:rFonts w:ascii="Calibri" w:eastAsia="Calibri" w:hAnsi="Calibri" w:cs="Calibri"/>
          <w:sz w:val="24"/>
          <w:szCs w:val="24"/>
        </w:rPr>
        <w:t>« </w:t>
      </w:r>
      <w:r>
        <w:rPr>
          <w:rFonts w:ascii="Calibri" w:eastAsia="Calibri" w:hAnsi="Calibri" w:cs="Calibri"/>
          <w:sz w:val="24"/>
          <w:szCs w:val="24"/>
        </w:rPr>
        <w:t>Transfert modal dans la ville de Ouaga</w:t>
      </w:r>
      <w:r w:rsidR="00085303">
        <w:rPr>
          <w:rFonts w:ascii="Calibri" w:eastAsia="Calibri" w:hAnsi="Calibri" w:cs="Calibri"/>
          <w:sz w:val="24"/>
          <w:szCs w:val="24"/>
        </w:rPr>
        <w:t>dougou</w:t>
      </w:r>
      <w:r>
        <w:rPr>
          <w:rFonts w:ascii="Calibri" w:eastAsia="Calibri" w:hAnsi="Calibri" w:cs="Calibri"/>
          <w:sz w:val="24"/>
          <w:szCs w:val="24"/>
        </w:rPr>
        <w:t xml:space="preserve"> (sur 20Km)) » sont retenus. </w:t>
      </w:r>
    </w:p>
    <w:p w14:paraId="5EEBEFA6" w14:textId="77777777" w:rsidR="004936A4" w:rsidRDefault="0002754C">
      <w:pPr>
        <w:spacing w:line="240" w:lineRule="auto"/>
        <w:jc w:val="both"/>
        <w:rPr>
          <w:rFonts w:ascii="Calibri" w:eastAsia="Calibri" w:hAnsi="Calibri" w:cs="Calibri"/>
          <w:sz w:val="24"/>
          <w:szCs w:val="24"/>
        </w:rPr>
      </w:pPr>
      <w:r>
        <w:rPr>
          <w:rFonts w:ascii="Calibri" w:eastAsia="Calibri" w:hAnsi="Calibri" w:cs="Calibri"/>
          <w:sz w:val="24"/>
          <w:szCs w:val="24"/>
        </w:rPr>
        <w:t>Le calcul des tonnes de CO2 séquestrés est tiré des hypothèses de l’étude « Evaluation finale d’impacts du Projet Pilote de Transfert Modal à Ouagadougou » réalisée en juin 2015. Il valorise l’effet de la réduction de la consommation de carburants entre le scénario de référence et le scénario projet. La diminution de la consommation de carburants est estimée sur la base de la diminution du trafic des deux roues.</w:t>
      </w:r>
    </w:p>
    <w:p w14:paraId="1C55A8DF" w14:textId="0C39E507" w:rsidR="004936A4" w:rsidRDefault="0002754C">
      <w:pPr>
        <w:spacing w:line="240" w:lineRule="auto"/>
        <w:jc w:val="both"/>
        <w:rPr>
          <w:rFonts w:ascii="Calibri" w:eastAsia="Calibri" w:hAnsi="Calibri" w:cs="Calibri"/>
          <w:sz w:val="24"/>
          <w:szCs w:val="24"/>
        </w:rPr>
      </w:pPr>
      <w:r>
        <w:rPr>
          <w:rFonts w:ascii="Calibri" w:eastAsia="Calibri" w:hAnsi="Calibri" w:cs="Calibri"/>
          <w:sz w:val="24"/>
          <w:szCs w:val="24"/>
        </w:rPr>
        <w:t>Les projets ont permis de capitaliser un gain de 25 293 tonnes de CO2 sur la durée du projet. L’économie de CO2 est, d’une part, tirée du trafic capté par les transports en commun sur la ligne 3 de la SOTRACO, qui passe de 263 993 passagers transportés en 2010 à 530</w:t>
      </w:r>
      <w:r w:rsidR="00EF5DB9">
        <w:rPr>
          <w:rFonts w:ascii="Calibri" w:eastAsia="Calibri" w:hAnsi="Calibri" w:cs="Calibri"/>
          <w:sz w:val="24"/>
          <w:szCs w:val="24"/>
        </w:rPr>
        <w:t> </w:t>
      </w:r>
      <w:r>
        <w:rPr>
          <w:rFonts w:ascii="Calibri" w:eastAsia="Calibri" w:hAnsi="Calibri" w:cs="Calibri"/>
          <w:sz w:val="24"/>
          <w:szCs w:val="24"/>
        </w:rPr>
        <w:t>328</w:t>
      </w:r>
      <w:r w:rsidR="00EF5DB9">
        <w:rPr>
          <w:rFonts w:ascii="Calibri" w:eastAsia="Calibri" w:hAnsi="Calibri" w:cs="Calibri"/>
          <w:sz w:val="24"/>
          <w:szCs w:val="24"/>
        </w:rPr>
        <w:t xml:space="preserve"> passagers</w:t>
      </w:r>
      <w:r>
        <w:rPr>
          <w:rFonts w:ascii="Calibri" w:eastAsia="Calibri" w:hAnsi="Calibri" w:cs="Calibri"/>
          <w:sz w:val="24"/>
          <w:szCs w:val="24"/>
        </w:rPr>
        <w:t xml:space="preserve"> en 2015.</w:t>
      </w:r>
    </w:p>
    <w:p w14:paraId="1D3C2644" w14:textId="77777777" w:rsidR="004936A4" w:rsidRDefault="0002754C" w:rsidP="005550EC">
      <w:pPr>
        <w:spacing w:after="0" w:line="240" w:lineRule="auto"/>
        <w:jc w:val="both"/>
        <w:rPr>
          <w:rFonts w:ascii="Calibri" w:eastAsia="Calibri" w:hAnsi="Calibri" w:cs="Calibri"/>
          <w:sz w:val="24"/>
          <w:szCs w:val="24"/>
        </w:rPr>
      </w:pPr>
      <w:r>
        <w:rPr>
          <w:rFonts w:ascii="Calibri" w:eastAsia="Calibri" w:hAnsi="Calibri" w:cs="Calibri"/>
          <w:sz w:val="24"/>
          <w:szCs w:val="24"/>
        </w:rPr>
        <w:t>L’évolution de l’économie de CO2 est obtenue en capitalisant le gain de CO2 obtenu à la fin du projet selon l’hypothèse que :</w:t>
      </w:r>
    </w:p>
    <w:p w14:paraId="2794BB79" w14:textId="77777777" w:rsidR="004936A4" w:rsidRDefault="0002754C" w:rsidP="005550EC">
      <w:pPr>
        <w:numPr>
          <w:ilvl w:val="0"/>
          <w:numId w:val="35"/>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Le trafic capté des deux roues motorisées est fidélisé,</w:t>
      </w:r>
    </w:p>
    <w:p w14:paraId="0FE8D05A" w14:textId="77777777" w:rsidR="004936A4" w:rsidRDefault="0002754C" w:rsidP="00357FB1">
      <w:pPr>
        <w:numPr>
          <w:ilvl w:val="0"/>
          <w:numId w:val="35"/>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Les effets du projet sur le trafic après la phase projet sont nuls,</w:t>
      </w:r>
    </w:p>
    <w:p w14:paraId="718DB36E" w14:textId="77777777" w:rsidR="004936A4" w:rsidRDefault="0002754C" w:rsidP="00357FB1">
      <w:pPr>
        <w:numPr>
          <w:ilvl w:val="0"/>
          <w:numId w:val="35"/>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L’évolution du trafic lié aux autres innovations n’est pas prise en compte. </w:t>
      </w:r>
    </w:p>
    <w:p w14:paraId="64297FA4" w14:textId="77777777" w:rsidR="004936A4" w:rsidRDefault="0002754C">
      <w:pPr>
        <w:spacing w:line="240" w:lineRule="auto"/>
        <w:jc w:val="both"/>
        <w:rPr>
          <w:rFonts w:ascii="Calibri" w:eastAsia="Calibri" w:hAnsi="Calibri" w:cs="Calibri"/>
          <w:sz w:val="24"/>
          <w:szCs w:val="24"/>
        </w:rPr>
      </w:pPr>
      <w:r>
        <w:rPr>
          <w:rFonts w:ascii="Calibri" w:eastAsia="Calibri" w:hAnsi="Calibri" w:cs="Calibri"/>
          <w:sz w:val="24"/>
          <w:szCs w:val="24"/>
        </w:rPr>
        <w:t>Le résultat obtenu est de 5,329 Gg équivalent CO2 économisé par an sur 29,3 Gg équivalent CO2 attendus en scenario inconditionnel soit un taux d’atteinte des résultats de 18,19%. Cela pourrait se justifier par le fait que le projet n’a pas connu de suite comme attendu dans la CDN.</w:t>
      </w:r>
    </w:p>
    <w:p w14:paraId="19E2F24A" w14:textId="4F5A5B0A" w:rsidR="004936A4" w:rsidRDefault="00357FB1" w:rsidP="00C13AD1">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Trois projets avaient été identifiés pour le scénario conditionnel. En 2030 en référence au scénario tendanciel, l’atténuation sectorielle proviendrait principalement d’une moindre consommation des hydrocarbures dans les transports (42%). </w:t>
      </w:r>
      <w:r w:rsidR="003E45B2">
        <w:rPr>
          <w:rFonts w:ascii="Calibri" w:eastAsia="Calibri" w:hAnsi="Calibri" w:cs="Calibri"/>
          <w:sz w:val="24"/>
          <w:szCs w:val="24"/>
        </w:rPr>
        <w:t>Ces d</w:t>
      </w:r>
      <w:r>
        <w:rPr>
          <w:rFonts w:ascii="Calibri" w:eastAsia="Calibri" w:hAnsi="Calibri" w:cs="Calibri"/>
          <w:sz w:val="24"/>
          <w:szCs w:val="24"/>
        </w:rPr>
        <w:t>onnées</w:t>
      </w:r>
      <w:r w:rsidR="003E45B2">
        <w:rPr>
          <w:rFonts w:ascii="Calibri" w:eastAsia="Calibri" w:hAnsi="Calibri" w:cs="Calibri"/>
          <w:sz w:val="24"/>
          <w:szCs w:val="24"/>
        </w:rPr>
        <w:t xml:space="preserve"> sont</w:t>
      </w:r>
      <w:r>
        <w:rPr>
          <w:rFonts w:ascii="Calibri" w:eastAsia="Calibri" w:hAnsi="Calibri" w:cs="Calibri"/>
          <w:sz w:val="24"/>
          <w:szCs w:val="24"/>
        </w:rPr>
        <w:t xml:space="preserve"> </w:t>
      </w:r>
      <w:r w:rsidR="00596244">
        <w:rPr>
          <w:rFonts w:ascii="Calibri" w:eastAsia="Calibri" w:hAnsi="Calibri" w:cs="Calibri"/>
          <w:sz w:val="24"/>
          <w:szCs w:val="24"/>
        </w:rPr>
        <w:t>in</w:t>
      </w:r>
      <w:r>
        <w:rPr>
          <w:rFonts w:ascii="Calibri" w:eastAsia="Calibri" w:hAnsi="Calibri" w:cs="Calibri"/>
          <w:sz w:val="24"/>
          <w:szCs w:val="24"/>
        </w:rPr>
        <w:t>disponibles. 0 Gg équivalent CO2 économisé par an sur 2911 Gg équivalent CO2 attendus en scénario conditionnel soit un taux d’atteinte des résultats de 00%. Cela pourrait se justifie</w:t>
      </w:r>
      <w:r w:rsidR="005F65DC">
        <w:rPr>
          <w:rFonts w:ascii="Calibri" w:eastAsia="Calibri" w:hAnsi="Calibri" w:cs="Calibri"/>
          <w:sz w:val="24"/>
          <w:szCs w:val="24"/>
        </w:rPr>
        <w:t>r</w:t>
      </w:r>
      <w:r>
        <w:rPr>
          <w:rFonts w:ascii="Calibri" w:eastAsia="Calibri" w:hAnsi="Calibri" w:cs="Calibri"/>
          <w:sz w:val="24"/>
          <w:szCs w:val="24"/>
        </w:rPr>
        <w:t xml:space="preserve"> principalement par le fait que les projets en question n’ont pas trouvé de financement.</w:t>
      </w:r>
    </w:p>
    <w:p w14:paraId="0AB65180" w14:textId="77777777" w:rsidR="00357FB1" w:rsidRDefault="00357FB1">
      <w:pPr>
        <w:spacing w:line="240" w:lineRule="auto"/>
        <w:jc w:val="both"/>
        <w:rPr>
          <w:rFonts w:ascii="Calibri" w:eastAsia="Calibri" w:hAnsi="Calibri" w:cs="Calibri"/>
          <w:sz w:val="24"/>
          <w:szCs w:val="24"/>
        </w:rPr>
      </w:pPr>
    </w:p>
    <w:p w14:paraId="3275B017" w14:textId="1B3BFEAD" w:rsidR="004936A4" w:rsidRPr="00357FB1" w:rsidRDefault="0002754C">
      <w:pPr>
        <w:spacing w:line="240" w:lineRule="auto"/>
        <w:jc w:val="both"/>
        <w:rPr>
          <w:rFonts w:asciiTheme="majorHAnsi" w:eastAsia="Calibri" w:hAnsiTheme="majorHAnsi" w:cstheme="majorBidi"/>
          <w:color w:val="3E7718" w:themeColor="accent2" w:themeShade="BF"/>
          <w:sz w:val="28"/>
          <w:szCs w:val="28"/>
        </w:rPr>
      </w:pPr>
      <w:r w:rsidRPr="00357FB1">
        <w:rPr>
          <w:rFonts w:asciiTheme="majorHAnsi" w:eastAsia="Calibri" w:hAnsiTheme="majorHAnsi" w:cstheme="majorBidi"/>
          <w:color w:val="3E7718" w:themeColor="accent2" w:themeShade="BF"/>
          <w:sz w:val="28"/>
          <w:szCs w:val="28"/>
        </w:rPr>
        <w:t>III.4</w:t>
      </w:r>
      <w:r w:rsidR="004D06F0">
        <w:rPr>
          <w:rFonts w:asciiTheme="majorHAnsi" w:eastAsia="Calibri" w:hAnsiTheme="majorHAnsi" w:cstheme="majorBidi"/>
          <w:color w:val="3E7718" w:themeColor="accent2" w:themeShade="BF"/>
          <w:sz w:val="28"/>
          <w:szCs w:val="28"/>
        </w:rPr>
        <w:t>.</w:t>
      </w:r>
      <w:r w:rsidRPr="00357FB1">
        <w:rPr>
          <w:rFonts w:asciiTheme="majorHAnsi" w:eastAsia="Calibri" w:hAnsiTheme="majorHAnsi" w:cstheme="majorBidi"/>
          <w:color w:val="3E7718" w:themeColor="accent2" w:themeShade="BF"/>
          <w:sz w:val="28"/>
          <w:szCs w:val="28"/>
        </w:rPr>
        <w:t xml:space="preserve"> Bilan carbone des projets et programmes du domaine </w:t>
      </w:r>
      <w:r w:rsidR="000F232F">
        <w:rPr>
          <w:rFonts w:asciiTheme="majorHAnsi" w:eastAsia="Calibri" w:hAnsiTheme="majorHAnsi" w:cstheme="majorBidi"/>
          <w:color w:val="3E7718" w:themeColor="accent2" w:themeShade="BF"/>
          <w:sz w:val="28"/>
          <w:szCs w:val="28"/>
        </w:rPr>
        <w:t>météorol</w:t>
      </w:r>
      <w:r w:rsidR="000F232F" w:rsidRPr="00357FB1">
        <w:rPr>
          <w:rFonts w:asciiTheme="majorHAnsi" w:eastAsia="Calibri" w:hAnsiTheme="majorHAnsi" w:cstheme="majorBidi"/>
          <w:color w:val="3E7718" w:themeColor="accent2" w:themeShade="BF"/>
          <w:sz w:val="28"/>
          <w:szCs w:val="28"/>
        </w:rPr>
        <w:t>ogique</w:t>
      </w:r>
      <w:r w:rsidR="004E4834" w:rsidRPr="00357FB1">
        <w:rPr>
          <w:rFonts w:asciiTheme="majorHAnsi" w:eastAsia="Calibri" w:hAnsiTheme="majorHAnsi" w:cstheme="majorBidi"/>
          <w:color w:val="3E7718" w:themeColor="accent2" w:themeShade="BF"/>
          <w:sz w:val="28"/>
          <w:szCs w:val="28"/>
        </w:rPr>
        <w:t xml:space="preserve"> </w:t>
      </w:r>
    </w:p>
    <w:p w14:paraId="67F12677" w14:textId="63DB8B81" w:rsidR="004936A4" w:rsidRDefault="00357FB1" w:rsidP="00357FB1">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Il s’agit de projets d’adaptation ayant pour effet le renforcement du système d'alerte précoce pour la gestion des évènements climatiques extrêmes. </w:t>
      </w:r>
    </w:p>
    <w:p w14:paraId="295D8158" w14:textId="33B5A77C" w:rsidR="004936A4" w:rsidRDefault="0002754C" w:rsidP="00357FB1">
      <w:pPr>
        <w:numPr>
          <w:ilvl w:val="0"/>
          <w:numId w:val="36"/>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Transfert de technologies pour le suivi climatique, météorologique et environnemental</w:t>
      </w:r>
      <w:r w:rsidR="005F65DC">
        <w:rPr>
          <w:rFonts w:ascii="Calibri" w:eastAsia="Calibri" w:hAnsi="Calibri" w:cs="Calibri"/>
          <w:color w:val="000000"/>
          <w:sz w:val="24"/>
          <w:szCs w:val="24"/>
        </w:rPr>
        <w:t>.</w:t>
      </w:r>
      <w:r>
        <w:rPr>
          <w:rFonts w:ascii="Calibri" w:eastAsia="Calibri" w:hAnsi="Calibri" w:cs="Calibri"/>
          <w:color w:val="000000"/>
          <w:sz w:val="24"/>
          <w:szCs w:val="24"/>
        </w:rPr>
        <w:t xml:space="preserve"> </w:t>
      </w:r>
    </w:p>
    <w:p w14:paraId="0337C5D8" w14:textId="77777777" w:rsidR="004936A4" w:rsidRDefault="0002754C" w:rsidP="00357FB1">
      <w:pPr>
        <w:numPr>
          <w:ilvl w:val="0"/>
          <w:numId w:val="36"/>
        </w:numPr>
        <w:pBdr>
          <w:top w:val="nil"/>
          <w:left w:val="nil"/>
          <w:bottom w:val="nil"/>
          <w:right w:val="nil"/>
          <w:between w:val="nil"/>
        </w:pBdr>
        <w:spacing w:line="240" w:lineRule="auto"/>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Intégration de l’utilisation efficace et effective des informations hydrométéorologiques et environnementales dans les plans de développement à long terme pour produire des alertes précoces et saisonnières.</w:t>
      </w:r>
    </w:p>
    <w:p w14:paraId="0DAD9DC7" w14:textId="290285D8" w:rsidR="004936A4" w:rsidRDefault="0002754C" w:rsidP="00357FB1">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Ces projets ne devraient pas générer des économies de CO2 mais plutôt </w:t>
      </w:r>
      <w:r w:rsidR="00C57A91">
        <w:rPr>
          <w:rFonts w:ascii="Calibri" w:eastAsia="Calibri" w:hAnsi="Calibri" w:cs="Calibri"/>
          <w:sz w:val="24"/>
          <w:szCs w:val="24"/>
        </w:rPr>
        <w:t>réduire</w:t>
      </w:r>
      <w:r>
        <w:rPr>
          <w:rFonts w:ascii="Calibri" w:eastAsia="Calibri" w:hAnsi="Calibri" w:cs="Calibri"/>
          <w:sz w:val="24"/>
          <w:szCs w:val="24"/>
        </w:rPr>
        <w:t xml:space="preserve"> la vulnérabilité des populations cibles face aux </w:t>
      </w:r>
      <w:r w:rsidR="007158DF">
        <w:rPr>
          <w:rFonts w:ascii="Calibri" w:eastAsia="Calibri" w:hAnsi="Calibri" w:cs="Calibri"/>
          <w:sz w:val="24"/>
          <w:szCs w:val="24"/>
        </w:rPr>
        <w:t>changement climatique</w:t>
      </w:r>
      <w:r>
        <w:rPr>
          <w:rFonts w:ascii="Calibri" w:eastAsia="Calibri" w:hAnsi="Calibri" w:cs="Calibri"/>
          <w:sz w:val="24"/>
          <w:szCs w:val="24"/>
        </w:rPr>
        <w:t>. En somme, ils devraient permettre :</w:t>
      </w:r>
    </w:p>
    <w:p w14:paraId="588A9883" w14:textId="731AF741" w:rsidR="004936A4" w:rsidRDefault="0002754C" w:rsidP="00357FB1">
      <w:pPr>
        <w:numPr>
          <w:ilvl w:val="0"/>
          <w:numId w:val="37"/>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Aux producteurs</w:t>
      </w:r>
      <w:r w:rsidR="00C57A91">
        <w:rPr>
          <w:rFonts w:ascii="Calibri" w:eastAsia="Calibri" w:hAnsi="Calibri" w:cs="Calibri"/>
          <w:color w:val="000000"/>
          <w:sz w:val="24"/>
          <w:szCs w:val="24"/>
        </w:rPr>
        <w:t xml:space="preserve"> et productrices</w:t>
      </w:r>
      <w:r>
        <w:rPr>
          <w:rFonts w:ascii="Calibri" w:eastAsia="Calibri" w:hAnsi="Calibri" w:cs="Calibri"/>
          <w:color w:val="000000"/>
          <w:sz w:val="24"/>
          <w:szCs w:val="24"/>
        </w:rPr>
        <w:t xml:space="preserve"> d’accroître leurs opportunités d’investissements en leur fournissant des informations d’importance sociale et économique qui permettent d’adapter </w:t>
      </w:r>
      <w:r>
        <w:rPr>
          <w:rFonts w:ascii="Calibri" w:eastAsia="Calibri" w:hAnsi="Calibri" w:cs="Calibri"/>
          <w:color w:val="000000"/>
          <w:sz w:val="24"/>
          <w:szCs w:val="24"/>
        </w:rPr>
        <w:lastRenderedPageBreak/>
        <w:t xml:space="preserve">leurs systèmes de production, de sauvegarder </w:t>
      </w:r>
      <w:r w:rsidR="00C57A91">
        <w:rPr>
          <w:rFonts w:ascii="Calibri" w:eastAsia="Calibri" w:hAnsi="Calibri" w:cs="Calibri"/>
          <w:color w:val="000000"/>
          <w:sz w:val="24"/>
          <w:szCs w:val="24"/>
        </w:rPr>
        <w:t>leur intégrité physique</w:t>
      </w:r>
      <w:r>
        <w:rPr>
          <w:rFonts w:ascii="Calibri" w:eastAsia="Calibri" w:hAnsi="Calibri" w:cs="Calibri"/>
          <w:color w:val="000000"/>
          <w:sz w:val="24"/>
          <w:szCs w:val="24"/>
        </w:rPr>
        <w:t>, leurs moyens de subsistance et leurs productions,</w:t>
      </w:r>
    </w:p>
    <w:p w14:paraId="5809B36D" w14:textId="52396A06" w:rsidR="004936A4" w:rsidRDefault="0002754C" w:rsidP="00357FB1">
      <w:pPr>
        <w:numPr>
          <w:ilvl w:val="0"/>
          <w:numId w:val="37"/>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Une réadaptation des facteurs de production et de consommation en fonction de l’évolution du climat et d</w:t>
      </w:r>
      <w:r w:rsidR="00C40F05">
        <w:rPr>
          <w:rFonts w:ascii="Calibri" w:eastAsia="Calibri" w:hAnsi="Calibri" w:cs="Calibri"/>
          <w:color w:val="000000"/>
          <w:sz w:val="24"/>
          <w:szCs w:val="24"/>
        </w:rPr>
        <w:t>u</w:t>
      </w:r>
      <w:r>
        <w:rPr>
          <w:rFonts w:ascii="Calibri" w:eastAsia="Calibri" w:hAnsi="Calibri" w:cs="Calibri"/>
          <w:color w:val="000000"/>
          <w:sz w:val="24"/>
          <w:szCs w:val="24"/>
        </w:rPr>
        <w:t xml:space="preserve"> </w:t>
      </w:r>
      <w:r w:rsidR="007158DF">
        <w:rPr>
          <w:rFonts w:ascii="Calibri" w:eastAsia="Calibri" w:hAnsi="Calibri" w:cs="Calibri"/>
          <w:color w:val="000000"/>
          <w:sz w:val="24"/>
          <w:szCs w:val="24"/>
        </w:rPr>
        <w:t>changement climatique</w:t>
      </w:r>
      <w:r>
        <w:rPr>
          <w:rFonts w:ascii="Calibri" w:eastAsia="Calibri" w:hAnsi="Calibri" w:cs="Calibri"/>
          <w:color w:val="000000"/>
          <w:sz w:val="24"/>
          <w:szCs w:val="24"/>
        </w:rPr>
        <w:t xml:space="preserve"> permettant d’accroitre le ratio « co</w:t>
      </w:r>
      <w:r w:rsidR="00627AFE" w:rsidRPr="00627AFE">
        <w:rPr>
          <w:rFonts w:ascii="Calibri" w:eastAsia="Calibri" w:hAnsi="Calibri" w:cs="Calibri"/>
          <w:color w:val="000000"/>
          <w:sz w:val="24"/>
          <w:szCs w:val="24"/>
        </w:rPr>
        <w:t>û</w:t>
      </w:r>
      <w:r>
        <w:rPr>
          <w:rFonts w:ascii="Calibri" w:eastAsia="Calibri" w:hAnsi="Calibri" w:cs="Calibri"/>
          <w:color w:val="000000"/>
          <w:sz w:val="24"/>
          <w:szCs w:val="24"/>
        </w:rPr>
        <w:t>ts-bénéfices » du producteur</w:t>
      </w:r>
      <w:r w:rsidR="00C57A91">
        <w:rPr>
          <w:rFonts w:ascii="Calibri" w:eastAsia="Calibri" w:hAnsi="Calibri" w:cs="Calibri"/>
          <w:color w:val="000000"/>
          <w:sz w:val="24"/>
          <w:szCs w:val="24"/>
        </w:rPr>
        <w:t>/productrice</w:t>
      </w:r>
      <w:r>
        <w:rPr>
          <w:rFonts w:ascii="Calibri" w:eastAsia="Calibri" w:hAnsi="Calibri" w:cs="Calibri"/>
          <w:color w:val="000000"/>
          <w:sz w:val="24"/>
          <w:szCs w:val="24"/>
        </w:rPr>
        <w:t xml:space="preserve"> en préservant les acquis environnementaux (économie de la ressource en eau).</w:t>
      </w:r>
    </w:p>
    <w:p w14:paraId="073554A3" w14:textId="40747866" w:rsidR="004936A4" w:rsidRDefault="0002754C" w:rsidP="00C13AD1">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La cible portait sur des acquisitions d’un montant de </w:t>
      </w:r>
      <w:r w:rsidR="00357FB1">
        <w:rPr>
          <w:rFonts w:ascii="Calibri" w:eastAsia="Calibri" w:hAnsi="Calibri" w:cs="Calibri"/>
          <w:sz w:val="24"/>
          <w:szCs w:val="24"/>
        </w:rPr>
        <w:t xml:space="preserve">mUSD </w:t>
      </w:r>
      <w:r>
        <w:rPr>
          <w:rFonts w:ascii="Calibri" w:eastAsia="Calibri" w:hAnsi="Calibri" w:cs="Calibri"/>
          <w:sz w:val="24"/>
          <w:szCs w:val="24"/>
        </w:rPr>
        <w:t>5</w:t>
      </w:r>
      <w:r w:rsidR="00357FB1">
        <w:rPr>
          <w:rFonts w:ascii="Calibri" w:eastAsia="Calibri" w:hAnsi="Calibri" w:cs="Calibri"/>
          <w:sz w:val="24"/>
          <w:szCs w:val="24"/>
        </w:rPr>
        <w:t>,2</w:t>
      </w:r>
      <w:r>
        <w:rPr>
          <w:rFonts w:ascii="Calibri" w:eastAsia="Calibri" w:hAnsi="Calibri" w:cs="Calibri"/>
          <w:sz w:val="24"/>
          <w:szCs w:val="24"/>
        </w:rPr>
        <w:t>. Aux termes des recherches</w:t>
      </w:r>
      <w:r w:rsidR="00357FB1">
        <w:rPr>
          <w:rFonts w:ascii="Calibri" w:eastAsia="Calibri" w:hAnsi="Calibri" w:cs="Calibri"/>
          <w:sz w:val="24"/>
          <w:szCs w:val="24"/>
        </w:rPr>
        <w:t xml:space="preserve">, </w:t>
      </w:r>
      <w:r>
        <w:rPr>
          <w:rFonts w:ascii="Calibri" w:eastAsia="Calibri" w:hAnsi="Calibri" w:cs="Calibri"/>
          <w:sz w:val="24"/>
          <w:szCs w:val="24"/>
        </w:rPr>
        <w:t>aucun projet n’a pu être réalisé soit un taux d’exécution financier de 00%. Toutefois, des acquisitions similaires ont été effectuées avec le projet CREWS.</w:t>
      </w:r>
    </w:p>
    <w:p w14:paraId="0B1FEADF" w14:textId="77777777" w:rsidR="00357FB1" w:rsidRDefault="00357FB1">
      <w:pPr>
        <w:spacing w:line="240" w:lineRule="auto"/>
        <w:jc w:val="both"/>
        <w:rPr>
          <w:rFonts w:ascii="Calibri" w:eastAsia="Calibri" w:hAnsi="Calibri" w:cs="Calibri"/>
          <w:b/>
          <w:sz w:val="24"/>
          <w:szCs w:val="24"/>
        </w:rPr>
      </w:pPr>
    </w:p>
    <w:p w14:paraId="23FCA43E" w14:textId="67A5E4E6" w:rsidR="004936A4" w:rsidRPr="00357FB1" w:rsidRDefault="0002754C">
      <w:pPr>
        <w:spacing w:line="240" w:lineRule="auto"/>
        <w:jc w:val="both"/>
        <w:rPr>
          <w:rFonts w:asciiTheme="majorHAnsi" w:eastAsia="Calibri" w:hAnsiTheme="majorHAnsi" w:cstheme="majorBidi"/>
          <w:color w:val="3E7718" w:themeColor="accent2" w:themeShade="BF"/>
          <w:sz w:val="28"/>
          <w:szCs w:val="28"/>
        </w:rPr>
      </w:pPr>
      <w:r w:rsidRPr="00357FB1">
        <w:rPr>
          <w:rFonts w:asciiTheme="majorHAnsi" w:eastAsia="Calibri" w:hAnsiTheme="majorHAnsi" w:cstheme="majorBidi"/>
          <w:color w:val="3E7718" w:themeColor="accent2" w:themeShade="BF"/>
          <w:sz w:val="28"/>
          <w:szCs w:val="28"/>
        </w:rPr>
        <w:t>III.5</w:t>
      </w:r>
      <w:r w:rsidR="004D06F0">
        <w:rPr>
          <w:rFonts w:asciiTheme="majorHAnsi" w:eastAsia="Calibri" w:hAnsiTheme="majorHAnsi" w:cstheme="majorBidi"/>
          <w:color w:val="3E7718" w:themeColor="accent2" w:themeShade="BF"/>
          <w:sz w:val="28"/>
          <w:szCs w:val="28"/>
        </w:rPr>
        <w:t>.</w:t>
      </w:r>
      <w:r w:rsidRPr="00357FB1">
        <w:rPr>
          <w:rFonts w:asciiTheme="majorHAnsi" w:eastAsia="Calibri" w:hAnsiTheme="majorHAnsi" w:cstheme="majorBidi"/>
          <w:color w:val="3E7718" w:themeColor="accent2" w:themeShade="BF"/>
          <w:sz w:val="28"/>
          <w:szCs w:val="28"/>
        </w:rPr>
        <w:t xml:space="preserve"> Bilan carbone des projets et programmes du domaine Habitat et urbanisme</w:t>
      </w:r>
    </w:p>
    <w:p w14:paraId="593F4CF4" w14:textId="5E5F4640" w:rsidR="004936A4" w:rsidRDefault="006D61A0">
      <w:pPr>
        <w:spacing w:line="240" w:lineRule="auto"/>
        <w:jc w:val="both"/>
        <w:rPr>
          <w:rFonts w:ascii="Calibri" w:eastAsia="Calibri" w:hAnsi="Calibri" w:cs="Calibri"/>
          <w:sz w:val="24"/>
          <w:szCs w:val="24"/>
        </w:rPr>
      </w:pPr>
      <w:r>
        <w:rPr>
          <w:rFonts w:ascii="Calibri" w:eastAsia="Calibri" w:hAnsi="Calibri" w:cs="Calibri"/>
          <w:sz w:val="24"/>
          <w:szCs w:val="24"/>
        </w:rPr>
        <w:t>Les 7 projets de l’habitat et de l’urbanisme</w:t>
      </w:r>
      <w:r>
        <w:rPr>
          <w:rStyle w:val="FootnoteReference"/>
          <w:rFonts w:ascii="Calibri" w:eastAsia="Calibri" w:hAnsi="Calibri" w:cs="Calibri"/>
          <w:sz w:val="24"/>
          <w:szCs w:val="24"/>
        </w:rPr>
        <w:footnoteReference w:id="3"/>
      </w:r>
      <w:r>
        <w:rPr>
          <w:rFonts w:ascii="Calibri" w:eastAsia="Calibri" w:hAnsi="Calibri" w:cs="Calibri"/>
          <w:sz w:val="24"/>
          <w:szCs w:val="24"/>
        </w:rPr>
        <w:t xml:space="preserve"> devraient permettre de séquestrer 906 178 Tonnes de CO2 par an et de bénéficier à 14 millions de personnes. Les projets identifiés par la CDN n’ont pu être valorisés faute de données soit un taux d’atteinte des résultats de 00%.</w:t>
      </w:r>
    </w:p>
    <w:p w14:paraId="6C780C3F" w14:textId="16F20966" w:rsidR="004936A4" w:rsidRDefault="0002754C" w:rsidP="00C13AD1">
      <w:pPr>
        <w:spacing w:after="0" w:line="240" w:lineRule="auto"/>
        <w:jc w:val="both"/>
        <w:rPr>
          <w:rFonts w:ascii="Calibri" w:eastAsia="Calibri" w:hAnsi="Calibri" w:cs="Calibri"/>
          <w:sz w:val="24"/>
          <w:szCs w:val="24"/>
        </w:rPr>
      </w:pPr>
      <w:r>
        <w:rPr>
          <w:rFonts w:ascii="Calibri" w:eastAsia="Calibri" w:hAnsi="Calibri" w:cs="Calibri"/>
          <w:sz w:val="24"/>
          <w:szCs w:val="24"/>
        </w:rPr>
        <w:t>Toutefois</w:t>
      </w:r>
      <w:r w:rsidR="006D61A0">
        <w:rPr>
          <w:rFonts w:ascii="Calibri" w:eastAsia="Calibri" w:hAnsi="Calibri" w:cs="Calibri"/>
          <w:sz w:val="24"/>
          <w:szCs w:val="24"/>
        </w:rPr>
        <w:t xml:space="preserve">, </w:t>
      </w:r>
      <w:r>
        <w:rPr>
          <w:rFonts w:ascii="Calibri" w:eastAsia="Calibri" w:hAnsi="Calibri" w:cs="Calibri"/>
          <w:sz w:val="24"/>
          <w:szCs w:val="24"/>
        </w:rPr>
        <w:t>un certain nombre a été exécuté dans le domaine et pris en compte dans les paragraphes ultérieurs.</w:t>
      </w:r>
    </w:p>
    <w:p w14:paraId="22383D34" w14:textId="77777777" w:rsidR="006D61A0" w:rsidRDefault="006D61A0">
      <w:pPr>
        <w:spacing w:line="240" w:lineRule="auto"/>
        <w:jc w:val="both"/>
        <w:rPr>
          <w:rFonts w:ascii="Calibri" w:eastAsia="Calibri" w:hAnsi="Calibri" w:cs="Calibri"/>
          <w:sz w:val="24"/>
          <w:szCs w:val="24"/>
        </w:rPr>
      </w:pPr>
    </w:p>
    <w:p w14:paraId="547AC465" w14:textId="624B3248" w:rsidR="004936A4" w:rsidRPr="006D61A0" w:rsidRDefault="0002754C">
      <w:pPr>
        <w:spacing w:line="240" w:lineRule="auto"/>
        <w:jc w:val="both"/>
        <w:rPr>
          <w:rFonts w:asciiTheme="majorHAnsi" w:eastAsia="Calibri" w:hAnsiTheme="majorHAnsi" w:cstheme="majorBidi"/>
          <w:color w:val="3E7718" w:themeColor="accent2" w:themeShade="BF"/>
          <w:sz w:val="28"/>
          <w:szCs w:val="28"/>
        </w:rPr>
      </w:pPr>
      <w:r w:rsidRPr="006D61A0">
        <w:rPr>
          <w:rFonts w:asciiTheme="majorHAnsi" w:eastAsia="Calibri" w:hAnsiTheme="majorHAnsi" w:cstheme="majorBidi"/>
          <w:color w:val="3E7718" w:themeColor="accent2" w:themeShade="BF"/>
          <w:sz w:val="28"/>
          <w:szCs w:val="28"/>
        </w:rPr>
        <w:t>III.6</w:t>
      </w:r>
      <w:r w:rsidR="004D06F0">
        <w:rPr>
          <w:rFonts w:asciiTheme="majorHAnsi" w:eastAsia="Calibri" w:hAnsiTheme="majorHAnsi" w:cstheme="majorBidi"/>
          <w:color w:val="3E7718" w:themeColor="accent2" w:themeShade="BF"/>
          <w:sz w:val="28"/>
          <w:szCs w:val="28"/>
        </w:rPr>
        <w:t>.</w:t>
      </w:r>
      <w:r w:rsidRPr="006D61A0">
        <w:rPr>
          <w:rFonts w:asciiTheme="majorHAnsi" w:eastAsia="Calibri" w:hAnsiTheme="majorHAnsi" w:cstheme="majorBidi"/>
          <w:color w:val="3E7718" w:themeColor="accent2" w:themeShade="BF"/>
          <w:sz w:val="28"/>
          <w:szCs w:val="28"/>
        </w:rPr>
        <w:t xml:space="preserve"> Bilan carbone des projets et programmes du domaine Santé</w:t>
      </w:r>
    </w:p>
    <w:p w14:paraId="1665F07C" w14:textId="74F30FEB" w:rsidR="004936A4" w:rsidRDefault="0002754C" w:rsidP="006D61A0">
      <w:pPr>
        <w:spacing w:after="0" w:line="240" w:lineRule="auto"/>
        <w:jc w:val="both"/>
        <w:rPr>
          <w:rFonts w:ascii="Calibri" w:eastAsia="Calibri" w:hAnsi="Calibri" w:cs="Calibri"/>
          <w:sz w:val="24"/>
          <w:szCs w:val="24"/>
        </w:rPr>
      </w:pPr>
      <w:r>
        <w:rPr>
          <w:rFonts w:ascii="Calibri" w:eastAsia="Calibri" w:hAnsi="Calibri" w:cs="Calibri"/>
          <w:sz w:val="24"/>
          <w:szCs w:val="24"/>
        </w:rPr>
        <w:t>Dans le domaine de la santé 4 projets</w:t>
      </w:r>
      <w:r w:rsidR="006D61A0">
        <w:rPr>
          <w:rStyle w:val="FootnoteReference"/>
          <w:rFonts w:ascii="Calibri" w:eastAsia="Calibri" w:hAnsi="Calibri" w:cs="Calibri"/>
          <w:sz w:val="24"/>
          <w:szCs w:val="24"/>
        </w:rPr>
        <w:footnoteReference w:id="4"/>
      </w:r>
      <w:r>
        <w:rPr>
          <w:rFonts w:ascii="Calibri" w:eastAsia="Calibri" w:hAnsi="Calibri" w:cs="Calibri"/>
          <w:sz w:val="24"/>
          <w:szCs w:val="24"/>
        </w:rPr>
        <w:t xml:space="preserve"> d’adaptation ont été retenus pour un co</w:t>
      </w:r>
      <w:r w:rsidR="006B2882" w:rsidRPr="006B2882">
        <w:rPr>
          <w:rFonts w:ascii="Calibri" w:eastAsia="Calibri" w:hAnsi="Calibri" w:cs="Calibri"/>
          <w:sz w:val="24"/>
          <w:szCs w:val="24"/>
        </w:rPr>
        <w:t>û</w:t>
      </w:r>
      <w:r>
        <w:rPr>
          <w:rFonts w:ascii="Calibri" w:eastAsia="Calibri" w:hAnsi="Calibri" w:cs="Calibri"/>
          <w:sz w:val="24"/>
          <w:szCs w:val="24"/>
        </w:rPr>
        <w:t xml:space="preserve">t </w:t>
      </w:r>
      <w:r w:rsidRPr="00E3220E">
        <w:rPr>
          <w:rFonts w:ascii="Calibri" w:eastAsia="Calibri" w:hAnsi="Calibri" w:cs="Calibri"/>
          <w:sz w:val="24"/>
          <w:szCs w:val="24"/>
        </w:rPr>
        <w:t xml:space="preserve">de </w:t>
      </w:r>
      <w:r w:rsidR="006D61A0" w:rsidRPr="00E3220E">
        <w:rPr>
          <w:rFonts w:ascii="Calibri" w:eastAsia="Calibri" w:hAnsi="Calibri" w:cs="Calibri"/>
          <w:sz w:val="24"/>
          <w:szCs w:val="24"/>
        </w:rPr>
        <w:t xml:space="preserve">plus de mUSD </w:t>
      </w:r>
      <w:r w:rsidRPr="00E3220E">
        <w:rPr>
          <w:rFonts w:ascii="Calibri" w:eastAsia="Calibri" w:hAnsi="Calibri" w:cs="Calibri"/>
          <w:sz w:val="24"/>
          <w:szCs w:val="24"/>
        </w:rPr>
        <w:t>38</w:t>
      </w:r>
      <w:r w:rsidR="006D61A0" w:rsidRPr="00E3220E">
        <w:rPr>
          <w:rFonts w:ascii="Calibri" w:eastAsia="Calibri" w:hAnsi="Calibri" w:cs="Calibri"/>
          <w:sz w:val="24"/>
          <w:szCs w:val="24"/>
        </w:rPr>
        <w:t>. Ils</w:t>
      </w:r>
      <w:r w:rsidRPr="00E3220E">
        <w:rPr>
          <w:rFonts w:ascii="Calibri" w:eastAsia="Calibri" w:hAnsi="Calibri" w:cs="Calibri"/>
          <w:sz w:val="24"/>
          <w:szCs w:val="24"/>
        </w:rPr>
        <w:t xml:space="preserve"> ne génèrent </w:t>
      </w:r>
      <w:r>
        <w:rPr>
          <w:rFonts w:ascii="Calibri" w:eastAsia="Calibri" w:hAnsi="Calibri" w:cs="Calibri"/>
          <w:sz w:val="24"/>
          <w:szCs w:val="24"/>
        </w:rPr>
        <w:t>pas des séquestrations des GES mais devraient permettre</w:t>
      </w:r>
      <w:r w:rsidR="006D61A0">
        <w:rPr>
          <w:rFonts w:ascii="Calibri" w:eastAsia="Calibri" w:hAnsi="Calibri" w:cs="Calibri"/>
          <w:sz w:val="24"/>
          <w:szCs w:val="24"/>
        </w:rPr>
        <w:t xml:space="preserve"> de</w:t>
      </w:r>
      <w:r>
        <w:rPr>
          <w:rFonts w:ascii="Calibri" w:eastAsia="Calibri" w:hAnsi="Calibri" w:cs="Calibri"/>
          <w:sz w:val="24"/>
          <w:szCs w:val="24"/>
        </w:rPr>
        <w:t xml:space="preserve"> :</w:t>
      </w:r>
    </w:p>
    <w:p w14:paraId="5FC77E5E" w14:textId="77777777" w:rsidR="004936A4" w:rsidRDefault="0002754C" w:rsidP="006D61A0">
      <w:pPr>
        <w:numPr>
          <w:ilvl w:val="0"/>
          <w:numId w:val="38"/>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Accroître la productivité globale de l’économie et les productions nationales ;</w:t>
      </w:r>
    </w:p>
    <w:p w14:paraId="0347B445" w14:textId="743DCAC2" w:rsidR="004936A4" w:rsidRDefault="0002754C" w:rsidP="006D61A0">
      <w:pPr>
        <w:numPr>
          <w:ilvl w:val="0"/>
          <w:numId w:val="38"/>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Dépenser moins de ressources par les travailleurs bien portants pour se soigner et produire plus;</w:t>
      </w:r>
    </w:p>
    <w:p w14:paraId="70DB5F8E" w14:textId="01A3E6CD" w:rsidR="004936A4" w:rsidRDefault="006D61A0" w:rsidP="006D61A0">
      <w:pPr>
        <w:numPr>
          <w:ilvl w:val="0"/>
          <w:numId w:val="38"/>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Maîtrise davantage les coûts sociaux des </w:t>
      </w:r>
      <w:r w:rsidR="007158DF">
        <w:rPr>
          <w:rFonts w:ascii="Calibri" w:eastAsia="Calibri" w:hAnsi="Calibri" w:cs="Calibri"/>
          <w:color w:val="000000"/>
          <w:sz w:val="24"/>
          <w:szCs w:val="24"/>
        </w:rPr>
        <w:t>changement</w:t>
      </w:r>
      <w:r w:rsidR="00B847C8">
        <w:rPr>
          <w:rFonts w:ascii="Calibri" w:eastAsia="Calibri" w:hAnsi="Calibri" w:cs="Calibri"/>
          <w:color w:val="000000"/>
          <w:sz w:val="24"/>
          <w:szCs w:val="24"/>
        </w:rPr>
        <w:t>s</w:t>
      </w:r>
      <w:r w:rsidR="007158DF">
        <w:rPr>
          <w:rFonts w:ascii="Calibri" w:eastAsia="Calibri" w:hAnsi="Calibri" w:cs="Calibri"/>
          <w:color w:val="000000"/>
          <w:sz w:val="24"/>
          <w:szCs w:val="24"/>
        </w:rPr>
        <w:t xml:space="preserve"> climatique</w:t>
      </w:r>
      <w:r w:rsidR="00B847C8">
        <w:rPr>
          <w:rFonts w:ascii="Calibri" w:eastAsia="Calibri" w:hAnsi="Calibri" w:cs="Calibri"/>
          <w:color w:val="000000"/>
          <w:sz w:val="24"/>
          <w:szCs w:val="24"/>
        </w:rPr>
        <w:t>s</w:t>
      </w:r>
      <w:r>
        <w:rPr>
          <w:rFonts w:ascii="Calibri" w:eastAsia="Calibri" w:hAnsi="Calibri" w:cs="Calibri"/>
          <w:color w:val="000000"/>
          <w:sz w:val="24"/>
          <w:szCs w:val="24"/>
        </w:rPr>
        <w:t>.</w:t>
      </w:r>
    </w:p>
    <w:p w14:paraId="2AEDB609" w14:textId="7043E500" w:rsidR="004936A4" w:rsidRDefault="00631AE6">
      <w:pPr>
        <w:spacing w:line="240" w:lineRule="auto"/>
        <w:jc w:val="both"/>
        <w:rPr>
          <w:rFonts w:ascii="Calibri" w:eastAsia="Calibri" w:hAnsi="Calibri" w:cs="Calibri"/>
          <w:sz w:val="24"/>
          <w:szCs w:val="24"/>
        </w:rPr>
      </w:pPr>
      <w:r>
        <w:rPr>
          <w:rFonts w:ascii="Calibri" w:eastAsia="Calibri" w:hAnsi="Calibri" w:cs="Calibri"/>
          <w:sz w:val="24"/>
          <w:szCs w:val="24"/>
        </w:rPr>
        <w:br/>
        <w:t>Les entretiens effectués avec le ministère de la santé et les structures rattachées n’ont pas permis de déceler des avancées sur les différents projets identifiés par la CDN. Soit un taux d’exécution de 00%.</w:t>
      </w:r>
    </w:p>
    <w:p w14:paraId="7C6D53F4" w14:textId="77777777" w:rsidR="004936A4" w:rsidRDefault="0002754C">
      <w:pPr>
        <w:spacing w:line="240" w:lineRule="auto"/>
        <w:jc w:val="both"/>
        <w:rPr>
          <w:rFonts w:ascii="Calibri" w:eastAsia="Calibri" w:hAnsi="Calibri" w:cs="Calibri"/>
          <w:b/>
          <w:bCs/>
          <w:color w:val="918655" w:themeColor="accent6"/>
          <w:sz w:val="24"/>
          <w:szCs w:val="24"/>
        </w:rPr>
      </w:pPr>
      <w:r w:rsidRPr="006D61A0">
        <w:rPr>
          <w:rFonts w:ascii="Calibri" w:eastAsia="Calibri" w:hAnsi="Calibri" w:cs="Calibri"/>
          <w:b/>
          <w:bCs/>
          <w:color w:val="918655" w:themeColor="accent6"/>
          <w:sz w:val="24"/>
          <w:szCs w:val="24"/>
        </w:rPr>
        <w:t>Dans les transports, l’habitat et l’urbanisme, les infrastructures et la santé, les cibles de la CDN n’ont pas été atteintes. Les transports constituent l’une des principales problématiques en matière de réduction des GES. La pollution du secteur est très élevée et croît à un rythme supérieur à celui des autres domaines. Ce domaine constitue un point d’attention pour la prochaine CDN.</w:t>
      </w:r>
    </w:p>
    <w:p w14:paraId="2AE29FB4" w14:textId="0E3C49C0" w:rsidR="004936A4" w:rsidRPr="005550EC" w:rsidRDefault="000F232F" w:rsidP="00312020">
      <w:pPr>
        <w:jc w:val="both"/>
        <w:rPr>
          <w:rFonts w:asciiTheme="majorHAnsi" w:eastAsia="Calibri" w:hAnsiTheme="majorHAnsi" w:cstheme="majorBidi"/>
          <w:b/>
          <w:bCs/>
          <w:color w:val="54A021" w:themeColor="accent2"/>
          <w:sz w:val="30"/>
          <w:szCs w:val="30"/>
        </w:rPr>
      </w:pPr>
      <w:r>
        <w:rPr>
          <w:rFonts w:asciiTheme="majorHAnsi" w:eastAsia="Calibri" w:hAnsiTheme="majorHAnsi" w:cstheme="majorBidi"/>
          <w:b/>
          <w:bCs/>
          <w:color w:val="54A021" w:themeColor="accent2"/>
          <w:sz w:val="30"/>
          <w:szCs w:val="30"/>
        </w:rPr>
        <w:lastRenderedPageBreak/>
        <w:t xml:space="preserve">IV. </w:t>
      </w:r>
      <w:r w:rsidRPr="005550EC">
        <w:rPr>
          <w:rFonts w:asciiTheme="majorHAnsi" w:eastAsia="Calibri" w:hAnsiTheme="majorHAnsi" w:cstheme="majorBidi"/>
          <w:b/>
          <w:bCs/>
          <w:color w:val="54A021" w:themeColor="accent2"/>
          <w:sz w:val="30"/>
          <w:szCs w:val="30"/>
        </w:rPr>
        <w:t>MISE A L’ECHELLE DE LA CONTRIBUTION DES PROJETS ET PROGRAMMES MIS EN ŒUVRE A LA CDN DU BURKINA FASO</w:t>
      </w:r>
    </w:p>
    <w:p w14:paraId="5D0739D9" w14:textId="675523CE" w:rsidR="004936A4" w:rsidRDefault="0002754C" w:rsidP="00E4481A">
      <w:pPr>
        <w:spacing w:after="0" w:line="240" w:lineRule="auto"/>
        <w:jc w:val="both"/>
        <w:rPr>
          <w:rFonts w:asciiTheme="majorHAnsi" w:eastAsia="Calibri" w:hAnsiTheme="majorHAnsi" w:cstheme="majorBidi"/>
          <w:color w:val="3E7718" w:themeColor="accent2" w:themeShade="BF"/>
          <w:sz w:val="28"/>
          <w:szCs w:val="28"/>
        </w:rPr>
      </w:pPr>
      <w:r w:rsidRPr="006D61A0">
        <w:rPr>
          <w:rFonts w:asciiTheme="majorHAnsi" w:eastAsia="Calibri" w:hAnsiTheme="majorHAnsi" w:cstheme="majorBidi"/>
          <w:color w:val="3E7718" w:themeColor="accent2" w:themeShade="BF"/>
          <w:sz w:val="28"/>
          <w:szCs w:val="28"/>
        </w:rPr>
        <w:t>IV.1</w:t>
      </w:r>
      <w:r w:rsidR="00B76F3F">
        <w:rPr>
          <w:rFonts w:asciiTheme="majorHAnsi" w:eastAsia="Calibri" w:hAnsiTheme="majorHAnsi" w:cstheme="majorBidi"/>
          <w:color w:val="3E7718" w:themeColor="accent2" w:themeShade="BF"/>
          <w:sz w:val="28"/>
          <w:szCs w:val="28"/>
        </w:rPr>
        <w:t>.</w:t>
      </w:r>
      <w:r w:rsidRPr="006D61A0">
        <w:rPr>
          <w:rFonts w:asciiTheme="majorHAnsi" w:eastAsia="Calibri" w:hAnsiTheme="majorHAnsi" w:cstheme="majorBidi"/>
          <w:color w:val="3E7718" w:themeColor="accent2" w:themeShade="BF"/>
          <w:sz w:val="28"/>
          <w:szCs w:val="28"/>
        </w:rPr>
        <w:t xml:space="preserve"> Taux de progrès vers les cibles de la CDN selon les trois scénarii</w:t>
      </w:r>
    </w:p>
    <w:p w14:paraId="1D94EFD9" w14:textId="77777777" w:rsidR="004E4834" w:rsidRDefault="004E4834" w:rsidP="000F232F">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Les taux d’atteinte des objectifs en 2020 sont 94,01% pour le scénario inconditionnel et 24,2% pour le scénario conditionnel. Pour le scénario d’adaptation intégrée dont l’objectif était uniquement fixé pour 2030, le taux atteint en 2020 est de 89%. </w:t>
      </w:r>
    </w:p>
    <w:p w14:paraId="17D67ABC" w14:textId="77777777" w:rsidR="008F74F2" w:rsidRDefault="008F74F2" w:rsidP="006D61A0">
      <w:pPr>
        <w:spacing w:after="0" w:line="240" w:lineRule="auto"/>
        <w:jc w:val="both"/>
        <w:rPr>
          <w:rFonts w:asciiTheme="majorHAnsi" w:eastAsia="Calibri" w:hAnsiTheme="majorHAnsi" w:cstheme="majorBidi"/>
          <w:color w:val="3E7718" w:themeColor="accent2" w:themeShade="BF"/>
          <w:sz w:val="28"/>
          <w:szCs w:val="28"/>
        </w:rPr>
      </w:pPr>
    </w:p>
    <w:p w14:paraId="794323C7" w14:textId="394B4658" w:rsidR="004936A4" w:rsidRPr="006D61A0" w:rsidRDefault="0002754C" w:rsidP="006D61A0">
      <w:pPr>
        <w:spacing w:after="0" w:line="240" w:lineRule="auto"/>
        <w:jc w:val="both"/>
        <w:rPr>
          <w:rFonts w:asciiTheme="majorHAnsi" w:eastAsia="Calibri" w:hAnsiTheme="majorHAnsi" w:cstheme="majorBidi"/>
          <w:color w:val="3E7718" w:themeColor="accent2" w:themeShade="BF"/>
          <w:sz w:val="28"/>
          <w:szCs w:val="28"/>
        </w:rPr>
      </w:pPr>
      <w:r w:rsidRPr="006D61A0">
        <w:rPr>
          <w:rFonts w:asciiTheme="majorHAnsi" w:eastAsia="Calibri" w:hAnsiTheme="majorHAnsi" w:cstheme="majorBidi"/>
          <w:color w:val="3E7718" w:themeColor="accent2" w:themeShade="BF"/>
          <w:sz w:val="28"/>
          <w:szCs w:val="28"/>
        </w:rPr>
        <w:t>IV.2. Mise à l’échelle de la CDN</w:t>
      </w:r>
    </w:p>
    <w:p w14:paraId="1FC0835A" w14:textId="307B4889" w:rsidR="004936A4" w:rsidRDefault="0002754C" w:rsidP="006D61A0">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Dans la CDN du pays, l’approche pour tenir son engagement à réduire les émissions de </w:t>
      </w:r>
      <w:r w:rsidR="00C57A91">
        <w:rPr>
          <w:rFonts w:ascii="Calibri" w:eastAsia="Calibri" w:hAnsi="Calibri" w:cs="Calibri"/>
          <w:sz w:val="24"/>
          <w:szCs w:val="24"/>
        </w:rPr>
        <w:t>GES</w:t>
      </w:r>
      <w:r>
        <w:rPr>
          <w:rFonts w:ascii="Calibri" w:eastAsia="Calibri" w:hAnsi="Calibri" w:cs="Calibri"/>
          <w:sz w:val="24"/>
          <w:szCs w:val="24"/>
        </w:rPr>
        <w:t xml:space="preserve"> et leurs contributions à la stabilité du réchauffement climatique d’ici 2030 selon un scénario conditionnel et un inconditionnel, concerne les actions relevant des efforts étatiques et les financements mobilisés par une programmation budgétaire. Ainsi la cible de l’atténuation inconditionnel est de 5</w:t>
      </w:r>
      <w:r w:rsidR="006D61A0">
        <w:rPr>
          <w:rFonts w:ascii="Calibri" w:eastAsia="Calibri" w:hAnsi="Calibri" w:cs="Calibri"/>
          <w:sz w:val="24"/>
          <w:szCs w:val="24"/>
        </w:rPr>
        <w:t xml:space="preserve"> </w:t>
      </w:r>
      <w:r>
        <w:rPr>
          <w:rFonts w:ascii="Calibri" w:eastAsia="Calibri" w:hAnsi="Calibri" w:cs="Calibri"/>
          <w:sz w:val="24"/>
          <w:szCs w:val="24"/>
        </w:rPr>
        <w:t xml:space="preserve">133 Gg de CO2eq en 2020 et celle conditionnelle </w:t>
      </w:r>
      <w:r w:rsidR="006D61A0">
        <w:rPr>
          <w:rFonts w:ascii="Calibri" w:eastAsia="Calibri" w:hAnsi="Calibri" w:cs="Calibri"/>
          <w:sz w:val="24"/>
          <w:szCs w:val="24"/>
        </w:rPr>
        <w:t xml:space="preserve">est de </w:t>
      </w:r>
      <w:r>
        <w:rPr>
          <w:rFonts w:ascii="Calibri" w:eastAsia="Calibri" w:hAnsi="Calibri" w:cs="Calibri"/>
          <w:sz w:val="24"/>
          <w:szCs w:val="24"/>
        </w:rPr>
        <w:t>10</w:t>
      </w:r>
      <w:r w:rsidR="006D61A0">
        <w:rPr>
          <w:rFonts w:ascii="Calibri" w:eastAsia="Calibri" w:hAnsi="Calibri" w:cs="Calibri"/>
          <w:sz w:val="24"/>
          <w:szCs w:val="24"/>
        </w:rPr>
        <w:t xml:space="preserve"> </w:t>
      </w:r>
      <w:r>
        <w:rPr>
          <w:rFonts w:ascii="Calibri" w:eastAsia="Calibri" w:hAnsi="Calibri" w:cs="Calibri"/>
          <w:sz w:val="24"/>
          <w:szCs w:val="24"/>
        </w:rPr>
        <w:t>953 Gg de CO2eq en 2020.</w:t>
      </w:r>
    </w:p>
    <w:p w14:paraId="4A449D04" w14:textId="77777777" w:rsidR="006D61A0" w:rsidRDefault="006D61A0" w:rsidP="006D61A0">
      <w:pPr>
        <w:spacing w:after="0" w:line="240" w:lineRule="auto"/>
        <w:jc w:val="both"/>
        <w:rPr>
          <w:rFonts w:ascii="Calibri" w:eastAsia="Calibri" w:hAnsi="Calibri" w:cs="Calibri"/>
          <w:sz w:val="24"/>
          <w:szCs w:val="24"/>
        </w:rPr>
      </w:pPr>
    </w:p>
    <w:p w14:paraId="377BE97D" w14:textId="5C336897" w:rsidR="004936A4" w:rsidRPr="006D61A0" w:rsidRDefault="0002754C" w:rsidP="006D61A0">
      <w:pPr>
        <w:spacing w:after="0" w:line="240" w:lineRule="auto"/>
        <w:jc w:val="both"/>
        <w:rPr>
          <w:rFonts w:asciiTheme="majorHAnsi" w:eastAsia="Calibri" w:hAnsiTheme="majorHAnsi" w:cstheme="majorBidi"/>
          <w:color w:val="3E7718" w:themeColor="accent2" w:themeShade="BF"/>
          <w:sz w:val="28"/>
          <w:szCs w:val="28"/>
        </w:rPr>
      </w:pPr>
      <w:r w:rsidRPr="006D61A0">
        <w:rPr>
          <w:rFonts w:asciiTheme="majorHAnsi" w:eastAsia="Calibri" w:hAnsiTheme="majorHAnsi" w:cstheme="majorBidi"/>
          <w:color w:val="3E7718" w:themeColor="accent2" w:themeShade="BF"/>
          <w:sz w:val="28"/>
          <w:szCs w:val="28"/>
        </w:rPr>
        <w:t xml:space="preserve">IV.3. Contribution des projets du domaine </w:t>
      </w:r>
      <w:r w:rsidR="006D61A0">
        <w:rPr>
          <w:rFonts w:asciiTheme="majorHAnsi" w:eastAsia="Calibri" w:hAnsiTheme="majorHAnsi" w:cstheme="majorBidi"/>
          <w:color w:val="3E7718" w:themeColor="accent2" w:themeShade="BF"/>
          <w:sz w:val="28"/>
          <w:szCs w:val="28"/>
        </w:rPr>
        <w:t xml:space="preserve">AFOLU </w:t>
      </w:r>
      <w:r w:rsidRPr="006D61A0">
        <w:rPr>
          <w:rFonts w:asciiTheme="majorHAnsi" w:eastAsia="Calibri" w:hAnsiTheme="majorHAnsi" w:cstheme="majorBidi"/>
          <w:color w:val="3E7718" w:themeColor="accent2" w:themeShade="BF"/>
          <w:sz w:val="28"/>
          <w:szCs w:val="28"/>
        </w:rPr>
        <w:t xml:space="preserve">à la résilience des populations aux impacts du </w:t>
      </w:r>
      <w:r w:rsidR="00984A24">
        <w:rPr>
          <w:rFonts w:asciiTheme="majorHAnsi" w:eastAsia="Calibri" w:hAnsiTheme="majorHAnsi" w:cstheme="majorBidi"/>
          <w:color w:val="3E7718" w:themeColor="accent2" w:themeShade="BF"/>
          <w:sz w:val="28"/>
          <w:szCs w:val="28"/>
        </w:rPr>
        <w:t>changement climatique</w:t>
      </w:r>
    </w:p>
    <w:p w14:paraId="27B9396D" w14:textId="7530A81D" w:rsidR="004936A4" w:rsidRDefault="0002754C">
      <w:pPr>
        <w:spacing w:line="240" w:lineRule="auto"/>
        <w:jc w:val="both"/>
        <w:rPr>
          <w:rFonts w:ascii="Calibri" w:eastAsia="Calibri" w:hAnsi="Calibri" w:cs="Calibri"/>
          <w:sz w:val="24"/>
          <w:szCs w:val="24"/>
        </w:rPr>
      </w:pPr>
      <w:r>
        <w:rPr>
          <w:rFonts w:ascii="Calibri" w:eastAsia="Calibri" w:hAnsi="Calibri" w:cs="Calibri"/>
          <w:sz w:val="24"/>
          <w:szCs w:val="24"/>
        </w:rPr>
        <w:t xml:space="preserve">Cette contribution est importante car le sous-secteur AFOLU est le plus impacté par le changement climatique tout en étant le principal moteur de l’économie burkinabè et </w:t>
      </w:r>
      <w:r w:rsidR="00C57A91">
        <w:rPr>
          <w:rFonts w:ascii="Calibri" w:eastAsia="Calibri" w:hAnsi="Calibri" w:cs="Calibri"/>
          <w:sz w:val="24"/>
          <w:szCs w:val="24"/>
        </w:rPr>
        <w:t xml:space="preserve">occupant environ </w:t>
      </w:r>
      <w:r>
        <w:rPr>
          <w:rFonts w:ascii="Calibri" w:eastAsia="Calibri" w:hAnsi="Calibri" w:cs="Calibri"/>
          <w:sz w:val="24"/>
          <w:szCs w:val="24"/>
        </w:rPr>
        <w:t>80% de la population.</w:t>
      </w:r>
    </w:p>
    <w:p w14:paraId="07DCDC59" w14:textId="7C6CF7A5" w:rsidR="004936A4" w:rsidRDefault="0002754C">
      <w:pPr>
        <w:spacing w:line="240" w:lineRule="auto"/>
        <w:jc w:val="both"/>
        <w:rPr>
          <w:rFonts w:ascii="Calibri" w:eastAsia="Calibri" w:hAnsi="Calibri" w:cs="Calibri"/>
          <w:sz w:val="24"/>
          <w:szCs w:val="24"/>
        </w:rPr>
      </w:pPr>
      <w:r>
        <w:rPr>
          <w:rFonts w:ascii="Calibri" w:eastAsia="Calibri" w:hAnsi="Calibri" w:cs="Calibri"/>
          <w:sz w:val="24"/>
          <w:szCs w:val="24"/>
        </w:rPr>
        <w:t>Les projets et programmes de ce domaine visent à augmenter le potentiel de production avec un impact positif sur la sécurité alimentaire, l’amélioration des revenus, la résilience des populations face au changement climatique, etc.</w:t>
      </w:r>
    </w:p>
    <w:p w14:paraId="3EFDFC54" w14:textId="77777777" w:rsidR="004936A4" w:rsidRDefault="0002754C">
      <w:pPr>
        <w:spacing w:line="240" w:lineRule="auto"/>
        <w:jc w:val="both"/>
        <w:rPr>
          <w:rFonts w:ascii="Calibri" w:eastAsia="Calibri" w:hAnsi="Calibri" w:cs="Calibri"/>
          <w:sz w:val="24"/>
          <w:szCs w:val="24"/>
        </w:rPr>
      </w:pPr>
      <w:r>
        <w:rPr>
          <w:rFonts w:ascii="Calibri" w:eastAsia="Calibri" w:hAnsi="Calibri" w:cs="Calibri"/>
          <w:sz w:val="24"/>
          <w:szCs w:val="24"/>
        </w:rPr>
        <w:t>Cependant, ils entrainent à moyen et long terme des réductions considérables des GES qui dépassent même les résultats des efforts d’atténuation.</w:t>
      </w:r>
    </w:p>
    <w:p w14:paraId="329CC80A" w14:textId="77777777" w:rsidR="00805B5D" w:rsidRDefault="00805B5D" w:rsidP="00805B5D">
      <w:pPr>
        <w:spacing w:after="0" w:line="240" w:lineRule="auto"/>
        <w:jc w:val="both"/>
        <w:rPr>
          <w:rFonts w:asciiTheme="majorHAnsi" w:eastAsia="Calibri" w:hAnsiTheme="majorHAnsi" w:cstheme="majorBidi"/>
          <w:color w:val="3E7718" w:themeColor="accent2" w:themeShade="BF"/>
          <w:sz w:val="28"/>
          <w:szCs w:val="28"/>
        </w:rPr>
      </w:pPr>
    </w:p>
    <w:p w14:paraId="30C5EC9F" w14:textId="7B6581BA" w:rsidR="004936A4" w:rsidRPr="00805B5D" w:rsidRDefault="0002754C" w:rsidP="00805B5D">
      <w:pPr>
        <w:spacing w:after="0" w:line="240" w:lineRule="auto"/>
        <w:jc w:val="both"/>
        <w:rPr>
          <w:rFonts w:asciiTheme="majorHAnsi" w:eastAsia="Calibri" w:hAnsiTheme="majorHAnsi" w:cstheme="majorBidi"/>
          <w:color w:val="3E7718" w:themeColor="accent2" w:themeShade="BF"/>
          <w:sz w:val="28"/>
          <w:szCs w:val="28"/>
        </w:rPr>
      </w:pPr>
      <w:r w:rsidRPr="00805B5D">
        <w:rPr>
          <w:rFonts w:asciiTheme="majorHAnsi" w:eastAsia="Calibri" w:hAnsiTheme="majorHAnsi" w:cstheme="majorBidi"/>
          <w:color w:val="3E7718" w:themeColor="accent2" w:themeShade="BF"/>
          <w:sz w:val="28"/>
          <w:szCs w:val="28"/>
        </w:rPr>
        <w:t xml:space="preserve">IV.4. Analyse comparative des coûts des actions d’adaptation par rapport à la </w:t>
      </w:r>
      <w:r w:rsidR="00C25EB2">
        <w:rPr>
          <w:rFonts w:asciiTheme="majorHAnsi" w:eastAsia="Calibri" w:hAnsiTheme="majorHAnsi" w:cstheme="majorBidi"/>
          <w:color w:val="3E7718" w:themeColor="accent2" w:themeShade="BF"/>
          <w:sz w:val="28"/>
          <w:szCs w:val="28"/>
        </w:rPr>
        <w:t>c</w:t>
      </w:r>
      <w:r w:rsidRPr="00805B5D">
        <w:rPr>
          <w:rFonts w:asciiTheme="majorHAnsi" w:eastAsia="Calibri" w:hAnsiTheme="majorHAnsi" w:cstheme="majorBidi"/>
          <w:color w:val="3E7718" w:themeColor="accent2" w:themeShade="BF"/>
          <w:sz w:val="28"/>
          <w:szCs w:val="28"/>
        </w:rPr>
        <w:t>ible de la CDN</w:t>
      </w:r>
    </w:p>
    <w:p w14:paraId="34135BE4" w14:textId="43B303B8" w:rsidR="004936A4" w:rsidRDefault="0002754C">
      <w:pPr>
        <w:spacing w:line="240" w:lineRule="auto"/>
        <w:jc w:val="both"/>
        <w:rPr>
          <w:rFonts w:ascii="Calibri" w:eastAsia="Calibri" w:hAnsi="Calibri" w:cs="Calibri"/>
          <w:sz w:val="24"/>
          <w:szCs w:val="24"/>
        </w:rPr>
      </w:pPr>
      <w:r>
        <w:rPr>
          <w:rFonts w:ascii="Calibri" w:eastAsia="Calibri" w:hAnsi="Calibri" w:cs="Calibri"/>
          <w:sz w:val="24"/>
          <w:szCs w:val="24"/>
        </w:rPr>
        <w:t>L’analyse des coûts des actions d’adaptation retenues par secteur indique un taux d’exécution financier de 121,5%. La cible de la CDN en matière de coût de réalisation a été atteinte en 2020.</w:t>
      </w:r>
    </w:p>
    <w:p w14:paraId="059976CD" w14:textId="71055B69" w:rsidR="00805B5D" w:rsidRDefault="00805B5D">
      <w:pPr>
        <w:rPr>
          <w:rFonts w:ascii="Calibri" w:eastAsia="Calibri" w:hAnsi="Calibri" w:cs="Calibri"/>
          <w:sz w:val="24"/>
          <w:szCs w:val="24"/>
        </w:rPr>
      </w:pPr>
    </w:p>
    <w:p w14:paraId="26F086E6" w14:textId="63573C8E" w:rsidR="004936A4" w:rsidRPr="00FE698D" w:rsidRDefault="00FE698D" w:rsidP="00FE698D">
      <w:pPr>
        <w:jc w:val="both"/>
        <w:rPr>
          <w:rFonts w:asciiTheme="majorHAnsi" w:eastAsia="Calibri" w:hAnsiTheme="majorHAnsi" w:cstheme="majorBidi"/>
          <w:b/>
          <w:bCs/>
          <w:color w:val="54A021" w:themeColor="accent2"/>
          <w:sz w:val="30"/>
          <w:szCs w:val="30"/>
        </w:rPr>
      </w:pPr>
      <w:r>
        <w:rPr>
          <w:rFonts w:asciiTheme="majorHAnsi" w:eastAsia="Calibri" w:hAnsiTheme="majorHAnsi" w:cstheme="majorBidi"/>
          <w:b/>
          <w:bCs/>
          <w:color w:val="54A021" w:themeColor="accent2"/>
          <w:sz w:val="30"/>
          <w:szCs w:val="30"/>
        </w:rPr>
        <w:t xml:space="preserve">V. </w:t>
      </w:r>
      <w:r w:rsidRPr="00FE698D">
        <w:rPr>
          <w:rFonts w:asciiTheme="majorHAnsi" w:eastAsia="Calibri" w:hAnsiTheme="majorHAnsi" w:cstheme="majorBidi"/>
          <w:b/>
          <w:bCs/>
          <w:color w:val="54A021" w:themeColor="accent2"/>
          <w:sz w:val="30"/>
          <w:szCs w:val="30"/>
        </w:rPr>
        <w:t>PERTINENCE, EFFICACITE, EFFICIENCE, IMPACT</w:t>
      </w:r>
      <w:r w:rsidR="00805B5D" w:rsidRPr="00FE698D">
        <w:rPr>
          <w:rFonts w:asciiTheme="majorHAnsi" w:eastAsia="Calibri" w:hAnsiTheme="majorHAnsi" w:cstheme="majorBidi"/>
          <w:b/>
          <w:bCs/>
          <w:color w:val="54A021" w:themeColor="accent2"/>
          <w:sz w:val="30"/>
          <w:szCs w:val="30"/>
        </w:rPr>
        <w:t xml:space="preserve"> ET</w:t>
      </w:r>
      <w:r w:rsidRPr="00FE698D">
        <w:rPr>
          <w:rFonts w:asciiTheme="majorHAnsi" w:eastAsia="Calibri" w:hAnsiTheme="majorHAnsi" w:cstheme="majorBidi"/>
          <w:b/>
          <w:bCs/>
          <w:color w:val="54A021" w:themeColor="accent2"/>
          <w:sz w:val="30"/>
          <w:szCs w:val="30"/>
        </w:rPr>
        <w:t xml:space="preserve"> DURABILITE DES PROJETS ET PROGRAMMES</w:t>
      </w:r>
    </w:p>
    <w:p w14:paraId="7473FCB2" w14:textId="77777777" w:rsidR="004936A4" w:rsidRPr="00805B5D" w:rsidRDefault="0002754C" w:rsidP="00805B5D">
      <w:pPr>
        <w:spacing w:after="0" w:line="240" w:lineRule="auto"/>
        <w:jc w:val="both"/>
        <w:rPr>
          <w:rFonts w:asciiTheme="majorHAnsi" w:eastAsia="Calibri" w:hAnsiTheme="majorHAnsi" w:cstheme="majorBidi"/>
          <w:color w:val="3E7718" w:themeColor="accent2" w:themeShade="BF"/>
          <w:sz w:val="28"/>
          <w:szCs w:val="28"/>
        </w:rPr>
      </w:pPr>
      <w:r w:rsidRPr="00805B5D">
        <w:rPr>
          <w:rFonts w:asciiTheme="majorHAnsi" w:eastAsia="Calibri" w:hAnsiTheme="majorHAnsi" w:cstheme="majorBidi"/>
          <w:color w:val="3E7718" w:themeColor="accent2" w:themeShade="BF"/>
          <w:sz w:val="28"/>
          <w:szCs w:val="28"/>
        </w:rPr>
        <w:t>V.1. Tendance agriculture foresterie, utilisation des terres (AFOLU)</w:t>
      </w:r>
    </w:p>
    <w:p w14:paraId="733849B6" w14:textId="77777777" w:rsidR="00424140" w:rsidRDefault="00424140" w:rsidP="00424140">
      <w:pPr>
        <w:spacing w:after="0" w:line="240" w:lineRule="auto"/>
        <w:jc w:val="both"/>
        <w:rPr>
          <w:rFonts w:ascii="Calibri" w:eastAsia="Calibri" w:hAnsi="Calibri" w:cs="Calibri"/>
          <w:b/>
          <w:color w:val="6B911C" w:themeColor="accent1" w:themeShade="BF"/>
          <w:sz w:val="24"/>
          <w:szCs w:val="24"/>
        </w:rPr>
      </w:pPr>
    </w:p>
    <w:p w14:paraId="20B21C05" w14:textId="1CBA82AB" w:rsidR="004936A4" w:rsidRPr="00572511" w:rsidRDefault="0002754C" w:rsidP="00572511">
      <w:pPr>
        <w:pStyle w:val="Heading3"/>
        <w:jc w:val="both"/>
        <w:rPr>
          <w:rFonts w:eastAsia="Calibri"/>
        </w:rPr>
      </w:pPr>
      <w:r w:rsidRPr="00572511">
        <w:rPr>
          <w:rFonts w:eastAsia="Calibri"/>
        </w:rPr>
        <w:t>V.1.1</w:t>
      </w:r>
      <w:r w:rsidR="00572511">
        <w:rPr>
          <w:rFonts w:eastAsia="Calibri"/>
        </w:rPr>
        <w:t>.</w:t>
      </w:r>
      <w:r w:rsidRPr="00572511">
        <w:rPr>
          <w:rFonts w:eastAsia="Calibri"/>
        </w:rPr>
        <w:t xml:space="preserve"> Pertinence</w:t>
      </w:r>
    </w:p>
    <w:p w14:paraId="211A7D4C" w14:textId="2A264196" w:rsidR="00805B5D" w:rsidRDefault="0002754C">
      <w:pPr>
        <w:spacing w:line="240" w:lineRule="auto"/>
        <w:jc w:val="both"/>
        <w:rPr>
          <w:rFonts w:ascii="Calibri" w:eastAsia="Calibri" w:hAnsi="Calibri" w:cs="Calibri"/>
          <w:sz w:val="24"/>
          <w:szCs w:val="24"/>
        </w:rPr>
      </w:pPr>
      <w:r>
        <w:rPr>
          <w:rFonts w:ascii="Calibri" w:eastAsia="Calibri" w:hAnsi="Calibri" w:cs="Calibri"/>
          <w:sz w:val="24"/>
          <w:szCs w:val="24"/>
        </w:rPr>
        <w:t xml:space="preserve">Les projets et programmes pertinents sont ceux qui intègrent les préoccupations du </w:t>
      </w:r>
      <w:r w:rsidR="00C57A91">
        <w:rPr>
          <w:rFonts w:ascii="Calibri" w:eastAsia="Calibri" w:hAnsi="Calibri" w:cs="Calibri"/>
          <w:sz w:val="24"/>
          <w:szCs w:val="24"/>
        </w:rPr>
        <w:t>pays</w:t>
      </w:r>
      <w:r w:rsidR="00805B5D">
        <w:rPr>
          <w:rFonts w:ascii="Calibri" w:eastAsia="Calibri" w:hAnsi="Calibri" w:cs="Calibri"/>
          <w:sz w:val="24"/>
          <w:szCs w:val="24"/>
        </w:rPr>
        <w:t xml:space="preserve"> </w:t>
      </w:r>
      <w:r>
        <w:rPr>
          <w:rFonts w:ascii="Calibri" w:eastAsia="Calibri" w:hAnsi="Calibri" w:cs="Calibri"/>
          <w:sz w:val="24"/>
          <w:szCs w:val="24"/>
        </w:rPr>
        <w:t xml:space="preserve">au niveau national </w:t>
      </w:r>
      <w:r w:rsidR="00C57A91">
        <w:rPr>
          <w:rFonts w:ascii="Calibri" w:eastAsia="Calibri" w:hAnsi="Calibri" w:cs="Calibri"/>
          <w:sz w:val="24"/>
          <w:szCs w:val="24"/>
        </w:rPr>
        <w:t>ainsi que l</w:t>
      </w:r>
      <w:r>
        <w:rPr>
          <w:rFonts w:ascii="Calibri" w:eastAsia="Calibri" w:hAnsi="Calibri" w:cs="Calibri"/>
          <w:sz w:val="24"/>
          <w:szCs w:val="24"/>
        </w:rPr>
        <w:t xml:space="preserve">es préoccupations </w:t>
      </w:r>
      <w:r w:rsidR="00C57A91">
        <w:rPr>
          <w:rFonts w:ascii="Calibri" w:eastAsia="Calibri" w:hAnsi="Calibri" w:cs="Calibri"/>
          <w:sz w:val="24"/>
          <w:szCs w:val="24"/>
        </w:rPr>
        <w:t xml:space="preserve">et les besoins spécifiques </w:t>
      </w:r>
      <w:r>
        <w:rPr>
          <w:rFonts w:ascii="Calibri" w:eastAsia="Calibri" w:hAnsi="Calibri" w:cs="Calibri"/>
          <w:sz w:val="24"/>
          <w:szCs w:val="24"/>
        </w:rPr>
        <w:t xml:space="preserve">des </w:t>
      </w:r>
      <w:r w:rsidR="00C57A91">
        <w:rPr>
          <w:rFonts w:ascii="Calibri" w:eastAsia="Calibri" w:hAnsi="Calibri" w:cs="Calibri"/>
          <w:sz w:val="24"/>
          <w:szCs w:val="24"/>
        </w:rPr>
        <w:t>hommes et des femmes</w:t>
      </w:r>
      <w:r>
        <w:rPr>
          <w:rFonts w:ascii="Calibri" w:eastAsia="Calibri" w:hAnsi="Calibri" w:cs="Calibri"/>
          <w:sz w:val="24"/>
          <w:szCs w:val="24"/>
        </w:rPr>
        <w:t xml:space="preserve"> dans les villes et villages. Ces préoccupations sont : la résilience face au changement climatique, la contribution à la sécurité alimentaire et à l’équilibre nutritionnel, la création de revenus et d’emplois</w:t>
      </w:r>
      <w:r w:rsidRPr="00FD5503">
        <w:rPr>
          <w:rFonts w:ascii="Calibri" w:eastAsia="Calibri" w:hAnsi="Calibri" w:cs="Calibri"/>
          <w:sz w:val="24"/>
          <w:szCs w:val="24"/>
        </w:rPr>
        <w:t>, etc.</w:t>
      </w:r>
      <w:r w:rsidR="00805B5D">
        <w:rPr>
          <w:rFonts w:ascii="Calibri" w:eastAsia="Calibri" w:hAnsi="Calibri" w:cs="Calibri"/>
          <w:sz w:val="24"/>
          <w:szCs w:val="24"/>
        </w:rPr>
        <w:t xml:space="preserve"> </w:t>
      </w:r>
    </w:p>
    <w:p w14:paraId="5A320568" w14:textId="6B3B97A9" w:rsidR="00805B5D" w:rsidRDefault="0002754C">
      <w:pPr>
        <w:spacing w:line="240" w:lineRule="auto"/>
        <w:jc w:val="both"/>
        <w:rPr>
          <w:rFonts w:ascii="Calibri" w:eastAsia="Calibri" w:hAnsi="Calibri" w:cs="Calibri"/>
          <w:sz w:val="24"/>
          <w:szCs w:val="24"/>
        </w:rPr>
      </w:pPr>
      <w:r>
        <w:rPr>
          <w:rFonts w:ascii="Calibri" w:eastAsia="Calibri" w:hAnsi="Calibri" w:cs="Calibri"/>
          <w:sz w:val="24"/>
          <w:szCs w:val="24"/>
        </w:rPr>
        <w:lastRenderedPageBreak/>
        <w:t xml:space="preserve">Sur le plan des préoccupations nationales du pays, les projets et programmes concernés sont en adéquation avec le deuxième Programme National du Secteur Rural (PNSR, 2016-2020) et le Plan National de Développement Economique et Social (PNDES). </w:t>
      </w:r>
    </w:p>
    <w:p w14:paraId="63D7FDCD" w14:textId="79D4CF1E" w:rsidR="004936A4" w:rsidRPr="00572511" w:rsidRDefault="0002754C" w:rsidP="00572511">
      <w:pPr>
        <w:pStyle w:val="Heading3"/>
        <w:jc w:val="both"/>
        <w:rPr>
          <w:rFonts w:eastAsia="Calibri"/>
        </w:rPr>
      </w:pPr>
      <w:r w:rsidRPr="00572511">
        <w:rPr>
          <w:rFonts w:eastAsia="Calibri"/>
        </w:rPr>
        <w:t>V.1.2</w:t>
      </w:r>
      <w:r w:rsidR="004D06F0" w:rsidRPr="00572511">
        <w:rPr>
          <w:rFonts w:eastAsia="Calibri"/>
        </w:rPr>
        <w:t>.</w:t>
      </w:r>
      <w:r w:rsidRPr="00572511">
        <w:rPr>
          <w:rFonts w:eastAsia="Calibri"/>
        </w:rPr>
        <w:t xml:space="preserve"> Efficacité</w:t>
      </w:r>
    </w:p>
    <w:p w14:paraId="2006450A" w14:textId="7B5FF73F" w:rsidR="00805B5D" w:rsidRDefault="0002754C" w:rsidP="005341ED">
      <w:pPr>
        <w:spacing w:line="240" w:lineRule="auto"/>
        <w:jc w:val="both"/>
        <w:rPr>
          <w:rFonts w:ascii="Calibri" w:eastAsia="Calibri" w:hAnsi="Calibri" w:cs="Calibri"/>
          <w:sz w:val="24"/>
          <w:szCs w:val="24"/>
        </w:rPr>
      </w:pPr>
      <w:r>
        <w:rPr>
          <w:rFonts w:ascii="Calibri" w:eastAsia="Calibri" w:hAnsi="Calibri" w:cs="Calibri"/>
          <w:sz w:val="24"/>
          <w:szCs w:val="24"/>
        </w:rPr>
        <w:t>L’efficacité des projets et programmes de la tendance « AFOLU » sont variables. Mais, en considérant la moyenne des taux d’exécution physique, ces structures ont été efficaces globalement. Avec un taux d’exécution physique variant entre 67% (agriculture et ressources en eau) et 78,40% (environnement et ressource animale) pour les projets et programmes dont les données ont été obtenues, ces projets et programmes présentent un bon niveau d’efficacité.</w:t>
      </w:r>
    </w:p>
    <w:p w14:paraId="11059189" w14:textId="6A502773" w:rsidR="004936A4" w:rsidRPr="00572511" w:rsidRDefault="0002754C" w:rsidP="00572511">
      <w:pPr>
        <w:pStyle w:val="Heading3"/>
        <w:jc w:val="both"/>
        <w:rPr>
          <w:rFonts w:eastAsia="Calibri"/>
        </w:rPr>
      </w:pPr>
      <w:r w:rsidRPr="00572511">
        <w:rPr>
          <w:rFonts w:eastAsia="Calibri"/>
        </w:rPr>
        <w:t>V.1.3. Impacts</w:t>
      </w:r>
    </w:p>
    <w:p w14:paraId="530B0F20" w14:textId="2B50110E" w:rsidR="00805B5D" w:rsidRDefault="0002754C" w:rsidP="005341ED">
      <w:pPr>
        <w:spacing w:after="0" w:line="240" w:lineRule="auto"/>
        <w:jc w:val="both"/>
        <w:rPr>
          <w:rFonts w:ascii="Calibri" w:eastAsia="Calibri" w:hAnsi="Calibri" w:cs="Calibri"/>
          <w:sz w:val="24"/>
          <w:szCs w:val="24"/>
        </w:rPr>
      </w:pPr>
      <w:r>
        <w:rPr>
          <w:rFonts w:ascii="Calibri" w:eastAsia="Calibri" w:hAnsi="Calibri" w:cs="Calibri"/>
          <w:sz w:val="24"/>
          <w:szCs w:val="24"/>
        </w:rPr>
        <w:t>Au regard des données secondaires collectées, les impacts des projets et programmes concernés sont variés. Ce sont, par exemple, la séquestration ou l’économie d’émission de CO2, l’accroissement du couvert végétal, l’amélioration des conditions de production (agricole, élevage, eau) et de la résilience des populations face au changement climatique, l’amélioration des revenus et la création d’emploi</w:t>
      </w:r>
      <w:r w:rsidR="00C57A91">
        <w:rPr>
          <w:rFonts w:ascii="Calibri" w:eastAsia="Calibri" w:hAnsi="Calibri" w:cs="Calibri"/>
          <w:sz w:val="24"/>
          <w:szCs w:val="24"/>
        </w:rPr>
        <w:t xml:space="preserve"> au profit des femmes et des hommes</w:t>
      </w:r>
      <w:r>
        <w:rPr>
          <w:rFonts w:ascii="Calibri" w:eastAsia="Calibri" w:hAnsi="Calibri" w:cs="Calibri"/>
          <w:sz w:val="24"/>
          <w:szCs w:val="24"/>
        </w:rPr>
        <w:t>, le renforcement des capacités des acteurs</w:t>
      </w:r>
      <w:r w:rsidR="00C57A91">
        <w:rPr>
          <w:rFonts w:ascii="Calibri" w:eastAsia="Calibri" w:hAnsi="Calibri" w:cs="Calibri"/>
          <w:sz w:val="24"/>
          <w:szCs w:val="24"/>
        </w:rPr>
        <w:t xml:space="preserve"> et actrices</w:t>
      </w:r>
      <w:r>
        <w:rPr>
          <w:rFonts w:ascii="Calibri" w:eastAsia="Calibri" w:hAnsi="Calibri" w:cs="Calibri"/>
          <w:sz w:val="24"/>
          <w:szCs w:val="24"/>
        </w:rPr>
        <w:t xml:space="preserve"> bénéficiaires. Cependant, l’impact de certaines actions comme les reboisements et </w:t>
      </w:r>
      <w:r w:rsidR="00805B5D">
        <w:rPr>
          <w:rFonts w:ascii="Calibri" w:eastAsia="Calibri" w:hAnsi="Calibri" w:cs="Calibri"/>
          <w:sz w:val="24"/>
          <w:szCs w:val="24"/>
        </w:rPr>
        <w:t xml:space="preserve">la </w:t>
      </w:r>
      <w:r>
        <w:rPr>
          <w:rFonts w:ascii="Calibri" w:eastAsia="Calibri" w:hAnsi="Calibri" w:cs="Calibri"/>
          <w:sz w:val="24"/>
          <w:szCs w:val="24"/>
        </w:rPr>
        <w:t xml:space="preserve">restauration des pâturages ne sera visible que sur </w:t>
      </w:r>
      <w:r w:rsidR="00C57A91">
        <w:rPr>
          <w:rFonts w:ascii="Calibri" w:eastAsia="Calibri" w:hAnsi="Calibri" w:cs="Calibri"/>
          <w:sz w:val="24"/>
          <w:szCs w:val="24"/>
        </w:rPr>
        <w:t>le</w:t>
      </w:r>
      <w:r>
        <w:rPr>
          <w:rFonts w:ascii="Calibri" w:eastAsia="Calibri" w:hAnsi="Calibri" w:cs="Calibri"/>
          <w:sz w:val="24"/>
          <w:szCs w:val="24"/>
        </w:rPr>
        <w:t xml:space="preserve"> moyen </w:t>
      </w:r>
      <w:r w:rsidR="00C57A91">
        <w:rPr>
          <w:rFonts w:ascii="Calibri" w:eastAsia="Calibri" w:hAnsi="Calibri" w:cs="Calibri"/>
          <w:sz w:val="24"/>
          <w:szCs w:val="24"/>
        </w:rPr>
        <w:t xml:space="preserve">et le </w:t>
      </w:r>
      <w:r>
        <w:rPr>
          <w:rFonts w:ascii="Calibri" w:eastAsia="Calibri" w:hAnsi="Calibri" w:cs="Calibri"/>
          <w:sz w:val="24"/>
          <w:szCs w:val="24"/>
        </w:rPr>
        <w:t xml:space="preserve">long terme. </w:t>
      </w:r>
    </w:p>
    <w:p w14:paraId="7F1A33CC" w14:textId="77777777" w:rsidR="00A83D51" w:rsidRDefault="00A83D51" w:rsidP="005341ED">
      <w:pPr>
        <w:spacing w:after="0" w:line="240" w:lineRule="auto"/>
        <w:jc w:val="both"/>
        <w:rPr>
          <w:rFonts w:ascii="Calibri" w:eastAsia="Calibri" w:hAnsi="Calibri" w:cs="Calibri"/>
          <w:sz w:val="24"/>
          <w:szCs w:val="24"/>
        </w:rPr>
      </w:pPr>
    </w:p>
    <w:p w14:paraId="0E0E8249" w14:textId="7C11D451" w:rsidR="004936A4" w:rsidRPr="00572511" w:rsidRDefault="0002754C" w:rsidP="00572511">
      <w:pPr>
        <w:pStyle w:val="Heading3"/>
        <w:jc w:val="both"/>
        <w:rPr>
          <w:rFonts w:eastAsia="Calibri"/>
        </w:rPr>
      </w:pPr>
      <w:r w:rsidRPr="00572511">
        <w:rPr>
          <w:rFonts w:eastAsia="Calibri"/>
        </w:rPr>
        <w:t>5.1.4. Efficience</w:t>
      </w:r>
    </w:p>
    <w:p w14:paraId="4996732C" w14:textId="7590C3DA" w:rsidR="00805B5D" w:rsidRDefault="0002754C">
      <w:pPr>
        <w:spacing w:line="240" w:lineRule="auto"/>
        <w:jc w:val="both"/>
        <w:rPr>
          <w:rFonts w:ascii="Calibri" w:eastAsia="Calibri" w:hAnsi="Calibri" w:cs="Calibri"/>
          <w:sz w:val="24"/>
          <w:szCs w:val="24"/>
        </w:rPr>
      </w:pPr>
      <w:r>
        <w:rPr>
          <w:rFonts w:ascii="Calibri" w:eastAsia="Calibri" w:hAnsi="Calibri" w:cs="Calibri"/>
          <w:sz w:val="24"/>
          <w:szCs w:val="24"/>
        </w:rPr>
        <w:t>En l’absence d’autres informations, l’efficience est estimée selon l’analyse des taux de réalisation financière. Les calculs font état d’un taux moyen de réalisation financière de 66,7% pour l’agriculture et l’eau et 69,37% pour l’environnement et les ressources animales. Ces taux moyens sont jugés importants et montrent que d’importants financements ont été injectés dans les deux sous-secteurs pour atteindre les objectifs et résultats des projets et programmes dont les données ont été obtenues.</w:t>
      </w:r>
    </w:p>
    <w:p w14:paraId="23851AC0" w14:textId="77777777" w:rsidR="004936A4" w:rsidRPr="00424140" w:rsidRDefault="0002754C" w:rsidP="00805B5D">
      <w:pPr>
        <w:spacing w:after="0" w:line="240" w:lineRule="auto"/>
        <w:jc w:val="both"/>
        <w:rPr>
          <w:rFonts w:ascii="Calibri" w:eastAsia="Calibri" w:hAnsi="Calibri" w:cs="Calibri"/>
          <w:b/>
          <w:color w:val="6B911C" w:themeColor="accent1" w:themeShade="BF"/>
          <w:sz w:val="24"/>
          <w:szCs w:val="24"/>
        </w:rPr>
      </w:pPr>
      <w:r w:rsidRPr="00572511">
        <w:rPr>
          <w:rFonts w:asciiTheme="majorHAnsi" w:eastAsia="Calibri" w:hAnsiTheme="majorHAnsi" w:cstheme="majorBidi"/>
          <w:color w:val="6C643F" w:themeColor="accent6" w:themeShade="BF"/>
          <w:sz w:val="26"/>
          <w:szCs w:val="26"/>
        </w:rPr>
        <w:t>V.1.5. Durabilité</w:t>
      </w:r>
    </w:p>
    <w:p w14:paraId="445FF557" w14:textId="57430F6C" w:rsidR="004936A4" w:rsidRDefault="0002754C">
      <w:pPr>
        <w:spacing w:line="240" w:lineRule="auto"/>
        <w:jc w:val="both"/>
        <w:rPr>
          <w:rFonts w:ascii="Calibri" w:eastAsia="Calibri" w:hAnsi="Calibri" w:cs="Calibri"/>
          <w:sz w:val="24"/>
          <w:szCs w:val="24"/>
        </w:rPr>
      </w:pPr>
      <w:r>
        <w:rPr>
          <w:rFonts w:ascii="Calibri" w:eastAsia="Calibri" w:hAnsi="Calibri" w:cs="Calibri"/>
          <w:sz w:val="24"/>
          <w:szCs w:val="24"/>
        </w:rPr>
        <w:t xml:space="preserve">Les actions de renforcement des capacités et l’implication des acteurs </w:t>
      </w:r>
      <w:r w:rsidR="00C57A91">
        <w:rPr>
          <w:rFonts w:ascii="Calibri" w:eastAsia="Calibri" w:hAnsi="Calibri" w:cs="Calibri"/>
          <w:sz w:val="24"/>
          <w:szCs w:val="24"/>
        </w:rPr>
        <w:t xml:space="preserve">et actrices </w:t>
      </w:r>
      <w:r>
        <w:rPr>
          <w:rFonts w:ascii="Calibri" w:eastAsia="Calibri" w:hAnsi="Calibri" w:cs="Calibri"/>
          <w:sz w:val="24"/>
          <w:szCs w:val="24"/>
        </w:rPr>
        <w:t xml:space="preserve">permettent de juger de la durabilité des effets et impacts des investissements des projets et programmes « AFOLU ». </w:t>
      </w:r>
    </w:p>
    <w:p w14:paraId="3053F049" w14:textId="002EC877" w:rsidR="004936A4" w:rsidRDefault="0002754C">
      <w:pPr>
        <w:spacing w:line="240" w:lineRule="auto"/>
        <w:jc w:val="both"/>
        <w:rPr>
          <w:rFonts w:ascii="Calibri" w:eastAsia="Calibri" w:hAnsi="Calibri" w:cs="Calibri"/>
          <w:sz w:val="24"/>
          <w:szCs w:val="24"/>
        </w:rPr>
      </w:pPr>
      <w:r>
        <w:rPr>
          <w:rFonts w:ascii="Calibri" w:eastAsia="Calibri" w:hAnsi="Calibri" w:cs="Calibri"/>
          <w:sz w:val="24"/>
          <w:szCs w:val="24"/>
        </w:rPr>
        <w:t xml:space="preserve">Les projets et programmes des deux sous-secteurs ont privilégié les renforcements des capacités et les sensibilisations des acteurs </w:t>
      </w:r>
      <w:r w:rsidR="00C57A91">
        <w:rPr>
          <w:rFonts w:ascii="Calibri" w:eastAsia="Calibri" w:hAnsi="Calibri" w:cs="Calibri"/>
          <w:sz w:val="24"/>
          <w:szCs w:val="24"/>
        </w:rPr>
        <w:t xml:space="preserve">et actrices </w:t>
      </w:r>
      <w:r>
        <w:rPr>
          <w:rFonts w:ascii="Calibri" w:eastAsia="Calibri" w:hAnsi="Calibri" w:cs="Calibri"/>
          <w:sz w:val="24"/>
          <w:szCs w:val="24"/>
        </w:rPr>
        <w:t xml:space="preserve">impliqués. Ces activités auront des bénéfices qui survivront aux projets et programmes ; leur maîtrise étant nécessaire pour leur reproduction surtout en l’absence d’appuis extérieurs. </w:t>
      </w:r>
    </w:p>
    <w:p w14:paraId="049E05C7" w14:textId="26288823" w:rsidR="00805B5D" w:rsidRDefault="0002754C" w:rsidP="005341ED">
      <w:pPr>
        <w:spacing w:line="240" w:lineRule="auto"/>
        <w:jc w:val="both"/>
        <w:rPr>
          <w:rFonts w:ascii="Calibri" w:eastAsia="Calibri" w:hAnsi="Calibri" w:cs="Calibri"/>
          <w:sz w:val="24"/>
          <w:szCs w:val="24"/>
        </w:rPr>
      </w:pPr>
      <w:r>
        <w:rPr>
          <w:rFonts w:ascii="Calibri" w:eastAsia="Calibri" w:hAnsi="Calibri" w:cs="Calibri"/>
          <w:sz w:val="24"/>
          <w:szCs w:val="24"/>
        </w:rPr>
        <w:t>L’implication effective du public cible (notamment les bénéficiaires</w:t>
      </w:r>
      <w:r w:rsidR="00C57A91">
        <w:rPr>
          <w:rFonts w:ascii="Calibri" w:eastAsia="Calibri" w:hAnsi="Calibri" w:cs="Calibri"/>
          <w:sz w:val="24"/>
          <w:szCs w:val="24"/>
        </w:rPr>
        <w:t xml:space="preserve"> y compris les femmes</w:t>
      </w:r>
      <w:r>
        <w:rPr>
          <w:rFonts w:ascii="Calibri" w:eastAsia="Calibri" w:hAnsi="Calibri" w:cs="Calibri"/>
          <w:sz w:val="24"/>
          <w:szCs w:val="24"/>
        </w:rPr>
        <w:t xml:space="preserve"> et les leaders communautaires) et de l’administration dans l’exécution des projets et programmes leur permet de s’approprier les activités menées. Cette appropriation est un gage de bonne gestion et de reproductibilité qui sont des éléments de durabilité. Ces acteurs pérennes sont à même de capitaliser les acquis et d’aider les publics cibles à poursuivre leur réplication. </w:t>
      </w:r>
    </w:p>
    <w:p w14:paraId="71DE6F1B" w14:textId="02EE2214" w:rsidR="004936A4" w:rsidRPr="00424140" w:rsidRDefault="0002754C" w:rsidP="00805B5D">
      <w:pPr>
        <w:spacing w:after="0" w:line="240" w:lineRule="auto"/>
        <w:jc w:val="both"/>
        <w:rPr>
          <w:rFonts w:ascii="Calibri" w:eastAsia="Calibri" w:hAnsi="Calibri" w:cs="Calibri"/>
          <w:b/>
          <w:color w:val="6B911C" w:themeColor="accent1" w:themeShade="BF"/>
          <w:sz w:val="24"/>
          <w:szCs w:val="24"/>
        </w:rPr>
      </w:pPr>
      <w:r w:rsidRPr="00572511">
        <w:rPr>
          <w:rFonts w:asciiTheme="majorHAnsi" w:eastAsia="Calibri" w:hAnsiTheme="majorHAnsi" w:cstheme="majorBidi"/>
          <w:color w:val="6C643F" w:themeColor="accent6" w:themeShade="BF"/>
          <w:sz w:val="26"/>
          <w:szCs w:val="26"/>
        </w:rPr>
        <w:t>V.1.6. Prise en compte du genre</w:t>
      </w:r>
    </w:p>
    <w:p w14:paraId="7A9A65B8" w14:textId="77777777" w:rsidR="00805B5D" w:rsidRDefault="0002754C">
      <w:pPr>
        <w:spacing w:line="240" w:lineRule="auto"/>
        <w:jc w:val="both"/>
        <w:rPr>
          <w:rFonts w:ascii="Calibri" w:eastAsia="Calibri" w:hAnsi="Calibri" w:cs="Calibri"/>
          <w:sz w:val="24"/>
          <w:szCs w:val="24"/>
        </w:rPr>
      </w:pPr>
      <w:r>
        <w:rPr>
          <w:rFonts w:ascii="Calibri" w:eastAsia="Calibri" w:hAnsi="Calibri" w:cs="Calibri"/>
          <w:sz w:val="24"/>
          <w:szCs w:val="24"/>
        </w:rPr>
        <w:t xml:space="preserve">Les informations collectées font état, en général, d’une faible intégration du genre. Seulement 17,13% des bénéficiaires recensés sont des femmes. Cependant la réalité pourrait être toute autre car les informations sur les personnes bénéficiaires manquent dans plusieurs documents. </w:t>
      </w:r>
    </w:p>
    <w:p w14:paraId="4CD54CAE" w14:textId="77777777" w:rsidR="00CC6B6A" w:rsidRDefault="0002754C" w:rsidP="00CC6B6A">
      <w:pPr>
        <w:spacing w:line="240" w:lineRule="auto"/>
        <w:jc w:val="both"/>
        <w:rPr>
          <w:rFonts w:ascii="Calibri" w:eastAsia="Calibri" w:hAnsi="Calibri" w:cs="Calibri"/>
          <w:sz w:val="24"/>
          <w:szCs w:val="24"/>
        </w:rPr>
      </w:pPr>
      <w:r>
        <w:rPr>
          <w:rFonts w:ascii="Calibri" w:eastAsia="Calibri" w:hAnsi="Calibri" w:cs="Calibri"/>
          <w:sz w:val="24"/>
          <w:szCs w:val="24"/>
        </w:rPr>
        <w:t xml:space="preserve">En dehors des projets et programmes analysés lors de la présente évaluation, le « Rapport de l’analyse genre des secteurs prioritaires de la CDN » du PNUD (PNUD, 2020) fait une analyse de l’intégration du genre dans différents secteurs contribuant à la CDN du Burkina Faso. </w:t>
      </w:r>
      <w:r w:rsidR="00CC6B6A">
        <w:rPr>
          <w:rFonts w:ascii="Calibri" w:eastAsia="Calibri" w:hAnsi="Calibri" w:cs="Calibri"/>
          <w:sz w:val="24"/>
          <w:szCs w:val="24"/>
        </w:rPr>
        <w:t xml:space="preserve">Cette analyse </w:t>
      </w:r>
      <w:r w:rsidR="00CC6B6A">
        <w:rPr>
          <w:rFonts w:ascii="Calibri" w:eastAsia="Calibri" w:hAnsi="Calibri" w:cs="Calibri"/>
          <w:sz w:val="24"/>
          <w:szCs w:val="24"/>
        </w:rPr>
        <w:lastRenderedPageBreak/>
        <w:t xml:space="preserve">globale du genre permet d’avoir une perception de l’intégration du concept genre dans les secteurs concernés. </w:t>
      </w:r>
    </w:p>
    <w:p w14:paraId="45631B89" w14:textId="1DCD3581" w:rsidR="00781DD2" w:rsidRDefault="0002754C">
      <w:pPr>
        <w:spacing w:line="240" w:lineRule="auto"/>
        <w:jc w:val="both"/>
        <w:rPr>
          <w:rFonts w:ascii="Calibri" w:eastAsia="Calibri" w:hAnsi="Calibri" w:cs="Calibri"/>
          <w:sz w:val="24"/>
          <w:szCs w:val="24"/>
        </w:rPr>
      </w:pPr>
      <w:r>
        <w:rPr>
          <w:rFonts w:ascii="Calibri" w:eastAsia="Calibri" w:hAnsi="Calibri" w:cs="Calibri"/>
          <w:sz w:val="24"/>
          <w:szCs w:val="24"/>
        </w:rPr>
        <w:t xml:space="preserve">Ainsi, dans le domaine de l’agriculture, foresterie et productions animales, il ressort que les inégalités de genre, conjuguées aux effets environnementaux des </w:t>
      </w:r>
      <w:r w:rsidR="007158DF">
        <w:rPr>
          <w:rFonts w:ascii="Calibri" w:eastAsia="Calibri" w:hAnsi="Calibri" w:cs="Calibri"/>
          <w:sz w:val="24"/>
          <w:szCs w:val="24"/>
        </w:rPr>
        <w:t>changement climatique</w:t>
      </w:r>
      <w:r>
        <w:rPr>
          <w:rFonts w:ascii="Calibri" w:eastAsia="Calibri" w:hAnsi="Calibri" w:cs="Calibri"/>
          <w:sz w:val="24"/>
          <w:szCs w:val="24"/>
        </w:rPr>
        <w:t xml:space="preserve">, contribuent à mettre en péril la sécurité alimentaire du pays. L'impact du changement climatique aggrave l’exclusion des femmes engagées dans l’agriculture en raison de leur manque de terres fertiles, de moyens de production et de formation. Contrairement aux hommes, les femmes endossent la responsabilité de la productivité agricole, dans un contexte de dégradation environnementale, sans disposer des droits et des ressources dont elles ont besoin pour rendre cette activité durable. </w:t>
      </w:r>
    </w:p>
    <w:p w14:paraId="0A9C870F" w14:textId="31F5FFCD" w:rsidR="00781DD2" w:rsidRDefault="0002754C">
      <w:pPr>
        <w:spacing w:line="240" w:lineRule="auto"/>
        <w:jc w:val="both"/>
        <w:rPr>
          <w:rFonts w:ascii="Calibri" w:eastAsia="Calibri" w:hAnsi="Calibri" w:cs="Calibri"/>
          <w:sz w:val="24"/>
          <w:szCs w:val="24"/>
        </w:rPr>
      </w:pPr>
      <w:r>
        <w:rPr>
          <w:rFonts w:ascii="Calibri" w:eastAsia="Calibri" w:hAnsi="Calibri" w:cs="Calibri"/>
          <w:sz w:val="24"/>
          <w:szCs w:val="24"/>
        </w:rPr>
        <w:t xml:space="preserve">En matière de foresterie, les pratiques sont aussi divisées entre les femmes et les hommes selon leurs rôles de genres et sont désavantageuses pour les femmes et les jeunes. Les femmes sont plus actives dans les maillons les moins rémunérés de la production et de la transformation, alors que les hommes possèdent les facteurs de production. </w:t>
      </w:r>
    </w:p>
    <w:p w14:paraId="1D693594" w14:textId="0C2AF225" w:rsidR="00781DD2" w:rsidRDefault="0002754C">
      <w:pPr>
        <w:spacing w:line="240" w:lineRule="auto"/>
        <w:jc w:val="both"/>
        <w:rPr>
          <w:rFonts w:ascii="Calibri" w:eastAsia="Calibri" w:hAnsi="Calibri" w:cs="Calibri"/>
          <w:sz w:val="24"/>
          <w:szCs w:val="24"/>
        </w:rPr>
      </w:pPr>
      <w:r>
        <w:rPr>
          <w:rFonts w:ascii="Calibri" w:eastAsia="Calibri" w:hAnsi="Calibri" w:cs="Calibri"/>
          <w:sz w:val="24"/>
          <w:szCs w:val="24"/>
        </w:rPr>
        <w:t>Dans le secteur de l’élevage, les normes de genre, par exemple, celles qui entravent leur adhésion aux organisations professionnelles d’éleveurs ou légitiment leur dépossession d’animaux, limitent sévèrement leur participation équitable dans ce secteur et ralentit, par conséquent, son évolution au pays.</w:t>
      </w:r>
    </w:p>
    <w:p w14:paraId="6839436F" w14:textId="27B9BAB4" w:rsidR="004936A4" w:rsidRPr="00781DD2" w:rsidRDefault="004E4834" w:rsidP="00424140">
      <w:pPr>
        <w:jc w:val="both"/>
        <w:rPr>
          <w:rFonts w:asciiTheme="majorHAnsi" w:eastAsia="Calibri" w:hAnsiTheme="majorHAnsi" w:cstheme="majorBidi"/>
          <w:color w:val="3E7718" w:themeColor="accent2" w:themeShade="BF"/>
          <w:sz w:val="28"/>
          <w:szCs w:val="28"/>
        </w:rPr>
      </w:pPr>
      <w:r>
        <w:rPr>
          <w:rFonts w:asciiTheme="majorHAnsi" w:eastAsia="Calibri" w:hAnsiTheme="majorHAnsi" w:cstheme="majorBidi"/>
          <w:color w:val="3E7718" w:themeColor="accent2" w:themeShade="BF"/>
          <w:sz w:val="28"/>
          <w:szCs w:val="28"/>
        </w:rPr>
        <w:t>V</w:t>
      </w:r>
      <w:r w:rsidRPr="00781DD2">
        <w:rPr>
          <w:rFonts w:asciiTheme="majorHAnsi" w:eastAsia="Calibri" w:hAnsiTheme="majorHAnsi" w:cstheme="majorBidi"/>
          <w:color w:val="3E7718" w:themeColor="accent2" w:themeShade="BF"/>
          <w:sz w:val="28"/>
          <w:szCs w:val="28"/>
        </w:rPr>
        <w:t>.2. Domaine</w:t>
      </w:r>
      <w:r w:rsidR="006A6A81">
        <w:rPr>
          <w:rFonts w:asciiTheme="majorHAnsi" w:eastAsia="Calibri" w:hAnsiTheme="majorHAnsi" w:cstheme="majorBidi"/>
          <w:color w:val="3E7718" w:themeColor="accent2" w:themeShade="BF"/>
          <w:sz w:val="28"/>
          <w:szCs w:val="28"/>
        </w:rPr>
        <w:t>s</w:t>
      </w:r>
      <w:r w:rsidRPr="00781DD2">
        <w:rPr>
          <w:rFonts w:asciiTheme="majorHAnsi" w:eastAsia="Calibri" w:hAnsiTheme="majorHAnsi" w:cstheme="majorBidi"/>
          <w:color w:val="3E7718" w:themeColor="accent2" w:themeShade="BF"/>
          <w:sz w:val="28"/>
          <w:szCs w:val="28"/>
        </w:rPr>
        <w:t xml:space="preserve"> Transport, météorologique Habitat et urbanisme, Santé et électricité</w:t>
      </w:r>
    </w:p>
    <w:p w14:paraId="77DCDCE7" w14:textId="454DE24B" w:rsidR="004936A4" w:rsidRPr="00572511" w:rsidRDefault="0002754C" w:rsidP="005550EC">
      <w:pPr>
        <w:spacing w:after="0" w:line="240" w:lineRule="auto"/>
        <w:jc w:val="both"/>
        <w:rPr>
          <w:rFonts w:asciiTheme="majorHAnsi" w:eastAsia="Calibri" w:hAnsiTheme="majorHAnsi" w:cstheme="majorBidi"/>
          <w:color w:val="6C643F" w:themeColor="accent6" w:themeShade="BF"/>
          <w:sz w:val="26"/>
          <w:szCs w:val="26"/>
        </w:rPr>
      </w:pPr>
      <w:r w:rsidRPr="00572511">
        <w:rPr>
          <w:rFonts w:asciiTheme="majorHAnsi" w:eastAsia="Calibri" w:hAnsiTheme="majorHAnsi" w:cstheme="majorBidi"/>
          <w:color w:val="6C643F" w:themeColor="accent6" w:themeShade="BF"/>
          <w:sz w:val="26"/>
          <w:szCs w:val="26"/>
        </w:rPr>
        <w:t>V.2.1. Pertinence</w:t>
      </w:r>
    </w:p>
    <w:p w14:paraId="6F13731D" w14:textId="77777777" w:rsidR="004936A4" w:rsidRDefault="0002754C" w:rsidP="00823D53">
      <w:pPr>
        <w:spacing w:line="240" w:lineRule="auto"/>
        <w:jc w:val="both"/>
        <w:rPr>
          <w:rFonts w:ascii="Calibri" w:eastAsia="Calibri" w:hAnsi="Calibri" w:cs="Calibri"/>
          <w:sz w:val="24"/>
          <w:szCs w:val="24"/>
        </w:rPr>
      </w:pPr>
      <w:r>
        <w:rPr>
          <w:rFonts w:ascii="Calibri" w:eastAsia="Calibri" w:hAnsi="Calibri" w:cs="Calibri"/>
          <w:sz w:val="24"/>
          <w:szCs w:val="24"/>
        </w:rPr>
        <w:t>Secteur des plus polluants dans le monde, les transports constituent le 2</w:t>
      </w:r>
      <w:r>
        <w:rPr>
          <w:rFonts w:ascii="Calibri" w:eastAsia="Calibri" w:hAnsi="Calibri" w:cs="Calibri"/>
          <w:sz w:val="24"/>
          <w:szCs w:val="24"/>
          <w:vertAlign w:val="superscript"/>
        </w:rPr>
        <w:t>e</w:t>
      </w:r>
      <w:r>
        <w:rPr>
          <w:rFonts w:ascii="Calibri" w:eastAsia="Calibri" w:hAnsi="Calibri" w:cs="Calibri"/>
          <w:sz w:val="24"/>
          <w:szCs w:val="24"/>
        </w:rPr>
        <w:t xml:space="preserve"> émetteur de GES après l’agriculture. Sans intervention (scénario tendanciel), les émissions de CO2 dans ce domaine devraient continuer à augmenter significativement et varier entre 4 110Gg en 2025 et 6 925Gg en 2030. Ceci justifie la pertinence des projets et programmes et les engagements dans ce secteur. Ils permettraient de réduire les émissions des GES de 42%.</w:t>
      </w:r>
    </w:p>
    <w:p w14:paraId="583420A3" w14:textId="105DD39E" w:rsidR="004936A4" w:rsidRDefault="0002754C">
      <w:pPr>
        <w:spacing w:line="240" w:lineRule="auto"/>
        <w:jc w:val="both"/>
        <w:rPr>
          <w:rFonts w:ascii="Calibri" w:eastAsia="Calibri" w:hAnsi="Calibri" w:cs="Calibri"/>
          <w:sz w:val="24"/>
          <w:szCs w:val="24"/>
        </w:rPr>
      </w:pPr>
      <w:r>
        <w:rPr>
          <w:rFonts w:ascii="Calibri" w:eastAsia="Calibri" w:hAnsi="Calibri" w:cs="Calibri"/>
          <w:sz w:val="24"/>
          <w:szCs w:val="24"/>
        </w:rPr>
        <w:t xml:space="preserve">En matière d’hydrométéorologie, les actions suivies dans le cadre environnemental sont liées à la </w:t>
      </w:r>
      <w:r w:rsidR="00A22CF0">
        <w:rPr>
          <w:rFonts w:ascii="Calibri" w:eastAsia="Calibri" w:hAnsi="Calibri" w:cs="Calibri"/>
          <w:sz w:val="24"/>
          <w:szCs w:val="24"/>
        </w:rPr>
        <w:t xml:space="preserve">mise à disposition </w:t>
      </w:r>
      <w:r>
        <w:rPr>
          <w:rFonts w:ascii="Calibri" w:eastAsia="Calibri" w:hAnsi="Calibri" w:cs="Calibri"/>
          <w:sz w:val="24"/>
          <w:szCs w:val="24"/>
        </w:rPr>
        <w:t>d’informations climatiques de qualité au profit des acteurs</w:t>
      </w:r>
      <w:r w:rsidR="00CC6B6A">
        <w:rPr>
          <w:rFonts w:ascii="Calibri" w:eastAsia="Calibri" w:hAnsi="Calibri" w:cs="Calibri"/>
          <w:sz w:val="24"/>
          <w:szCs w:val="24"/>
        </w:rPr>
        <w:t xml:space="preserve"> et actrices</w:t>
      </w:r>
      <w:r>
        <w:rPr>
          <w:rFonts w:ascii="Calibri" w:eastAsia="Calibri" w:hAnsi="Calibri" w:cs="Calibri"/>
          <w:sz w:val="24"/>
          <w:szCs w:val="24"/>
        </w:rPr>
        <w:t xml:space="preserve"> pour leur permettre de se prémunir des aléas climatiques.</w:t>
      </w:r>
    </w:p>
    <w:p w14:paraId="62D4E5DA" w14:textId="28401F2F" w:rsidR="004936A4" w:rsidRDefault="0002754C">
      <w:pPr>
        <w:spacing w:line="240" w:lineRule="auto"/>
        <w:jc w:val="both"/>
        <w:rPr>
          <w:rFonts w:ascii="Calibri" w:eastAsia="Calibri" w:hAnsi="Calibri" w:cs="Calibri"/>
          <w:sz w:val="24"/>
          <w:szCs w:val="24"/>
        </w:rPr>
      </w:pPr>
      <w:r>
        <w:rPr>
          <w:rFonts w:ascii="Calibri" w:eastAsia="Calibri" w:hAnsi="Calibri" w:cs="Calibri"/>
          <w:sz w:val="24"/>
          <w:szCs w:val="24"/>
        </w:rPr>
        <w:t>Au niveau de l’habitat, les projets exécutés répondent à une préoccupation majeure de la politique d’habitat et d’urbanisme qui est d’offrir un cadre de vie sain tout en utilisant des matériaux adaptés</w:t>
      </w:r>
      <w:r w:rsidR="00CC6B6A">
        <w:rPr>
          <w:rFonts w:ascii="Calibri" w:eastAsia="Calibri" w:hAnsi="Calibri" w:cs="Calibri"/>
          <w:sz w:val="24"/>
          <w:szCs w:val="24"/>
        </w:rPr>
        <w:t xml:space="preserve"> et sensibles au climat</w:t>
      </w:r>
      <w:r>
        <w:rPr>
          <w:rFonts w:ascii="Calibri" w:eastAsia="Calibri" w:hAnsi="Calibri" w:cs="Calibri"/>
          <w:sz w:val="24"/>
          <w:szCs w:val="24"/>
        </w:rPr>
        <w:t xml:space="preserve">. </w:t>
      </w:r>
    </w:p>
    <w:p w14:paraId="6530B7DF" w14:textId="34C2599D" w:rsidR="00CC6B6A" w:rsidRDefault="0002754C">
      <w:pPr>
        <w:spacing w:line="240" w:lineRule="auto"/>
        <w:jc w:val="both"/>
        <w:rPr>
          <w:rFonts w:ascii="Calibri" w:eastAsia="Calibri" w:hAnsi="Calibri" w:cs="Calibri"/>
          <w:sz w:val="24"/>
          <w:szCs w:val="24"/>
        </w:rPr>
      </w:pPr>
      <w:r>
        <w:rPr>
          <w:rFonts w:ascii="Calibri" w:eastAsia="Calibri" w:hAnsi="Calibri" w:cs="Calibri"/>
          <w:sz w:val="24"/>
          <w:szCs w:val="24"/>
        </w:rPr>
        <w:t>La CDN propose d’agir sur la recherche en santé climatique et le renforcement des capacités des acteurs</w:t>
      </w:r>
      <w:r w:rsidR="00CC6B6A">
        <w:rPr>
          <w:rFonts w:ascii="Calibri" w:eastAsia="Calibri" w:hAnsi="Calibri" w:cs="Calibri"/>
          <w:sz w:val="24"/>
          <w:szCs w:val="24"/>
        </w:rPr>
        <w:t xml:space="preserve"> (femmes, hommes, jeunes et personnes handicapées)</w:t>
      </w:r>
      <w:r>
        <w:rPr>
          <w:rFonts w:ascii="Calibri" w:eastAsia="Calibri" w:hAnsi="Calibri" w:cs="Calibri"/>
          <w:sz w:val="24"/>
          <w:szCs w:val="24"/>
        </w:rPr>
        <w:t xml:space="preserve"> et institutions pour mieux protéger la population contre les risques de maladie liées au changement climatique. La variabilité et la modification du climat sont causes de décès et de maladies à travers les catastrophes naturelles (inondations et sècheresses) qu’elles entraînent, </w:t>
      </w:r>
      <w:r w:rsidR="00CC6B6A">
        <w:rPr>
          <w:rFonts w:ascii="Calibri" w:eastAsia="Calibri" w:hAnsi="Calibri" w:cs="Calibri"/>
          <w:sz w:val="24"/>
          <w:szCs w:val="24"/>
        </w:rPr>
        <w:t xml:space="preserve">avec des conséquences souvent plus ressenties par la </w:t>
      </w:r>
      <w:r w:rsidR="0020104D">
        <w:rPr>
          <w:rFonts w:ascii="Calibri" w:eastAsia="Calibri" w:hAnsi="Calibri" w:cs="Calibri"/>
          <w:sz w:val="24"/>
          <w:szCs w:val="24"/>
        </w:rPr>
        <w:t>gent</w:t>
      </w:r>
      <w:r w:rsidR="00CC6B6A">
        <w:rPr>
          <w:rFonts w:ascii="Calibri" w:eastAsia="Calibri" w:hAnsi="Calibri" w:cs="Calibri"/>
          <w:sz w:val="24"/>
          <w:szCs w:val="24"/>
        </w:rPr>
        <w:t xml:space="preserve"> féminine.</w:t>
      </w:r>
    </w:p>
    <w:p w14:paraId="629EAE9D" w14:textId="2D16F7E4" w:rsidR="004936A4" w:rsidRDefault="0002754C">
      <w:pPr>
        <w:spacing w:line="240" w:lineRule="auto"/>
        <w:jc w:val="both"/>
        <w:rPr>
          <w:rFonts w:ascii="Calibri" w:eastAsia="Calibri" w:hAnsi="Calibri" w:cs="Calibri"/>
          <w:sz w:val="24"/>
          <w:szCs w:val="24"/>
        </w:rPr>
      </w:pPr>
      <w:r>
        <w:rPr>
          <w:rFonts w:ascii="Calibri" w:eastAsia="Calibri" w:hAnsi="Calibri" w:cs="Calibri"/>
          <w:sz w:val="24"/>
          <w:szCs w:val="24"/>
        </w:rPr>
        <w:t>Dans les infrastructures, les projets de la CDN concernent la construction d’ouvrages adaptés pour réduire la vulnérabilité des populations face aux inondations et désenclaver les zones rurales.</w:t>
      </w:r>
    </w:p>
    <w:p w14:paraId="7C9DABA0" w14:textId="48817860" w:rsidR="004936A4" w:rsidRPr="00E82588" w:rsidRDefault="0002754C" w:rsidP="005550EC">
      <w:pPr>
        <w:spacing w:after="0" w:line="240" w:lineRule="auto"/>
        <w:jc w:val="both"/>
        <w:rPr>
          <w:rFonts w:ascii="Calibri" w:eastAsia="Calibri" w:hAnsi="Calibri" w:cs="Calibri"/>
          <w:color w:val="6B911C" w:themeColor="accent1" w:themeShade="BF"/>
          <w:sz w:val="24"/>
          <w:szCs w:val="24"/>
        </w:rPr>
      </w:pPr>
      <w:r w:rsidRPr="00187D32">
        <w:rPr>
          <w:rFonts w:asciiTheme="majorHAnsi" w:eastAsia="Calibri" w:hAnsiTheme="majorHAnsi" w:cstheme="majorBidi"/>
          <w:color w:val="6C643F" w:themeColor="accent6" w:themeShade="BF"/>
          <w:sz w:val="26"/>
          <w:szCs w:val="26"/>
        </w:rPr>
        <w:t>V.2.2. Efficacité</w:t>
      </w:r>
    </w:p>
    <w:p w14:paraId="488DF527" w14:textId="77777777" w:rsidR="00324F5C" w:rsidRDefault="0002754C" w:rsidP="005550EC">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Dans les transports, le taux d’exécution cumulé de l’ensemble des projets inscrits est de 69%, ce qui signifie une efficacité relative de leur exécution. </w:t>
      </w:r>
    </w:p>
    <w:p w14:paraId="47CE1D39" w14:textId="4B20E8C0" w:rsidR="004936A4" w:rsidRDefault="0002754C" w:rsidP="005550EC">
      <w:pPr>
        <w:spacing w:after="0" w:line="240" w:lineRule="auto"/>
        <w:jc w:val="both"/>
        <w:rPr>
          <w:rFonts w:ascii="Calibri" w:eastAsia="Calibri" w:hAnsi="Calibri" w:cs="Calibri"/>
          <w:sz w:val="24"/>
          <w:szCs w:val="24"/>
        </w:rPr>
      </w:pPr>
      <w:r>
        <w:rPr>
          <w:rFonts w:ascii="Calibri" w:eastAsia="Calibri" w:hAnsi="Calibri" w:cs="Calibri"/>
          <w:sz w:val="24"/>
          <w:szCs w:val="24"/>
        </w:rPr>
        <w:lastRenderedPageBreak/>
        <w:t xml:space="preserve"> </w:t>
      </w:r>
    </w:p>
    <w:p w14:paraId="4943F68A" w14:textId="4EE3260D" w:rsidR="004936A4" w:rsidRDefault="0002754C">
      <w:pPr>
        <w:spacing w:line="240" w:lineRule="auto"/>
        <w:jc w:val="both"/>
        <w:rPr>
          <w:rFonts w:ascii="Calibri" w:eastAsia="Calibri" w:hAnsi="Calibri" w:cs="Calibri"/>
          <w:sz w:val="24"/>
          <w:szCs w:val="24"/>
        </w:rPr>
      </w:pPr>
      <w:r>
        <w:rPr>
          <w:rFonts w:ascii="Calibri" w:eastAsia="Calibri" w:hAnsi="Calibri" w:cs="Calibri"/>
          <w:sz w:val="24"/>
          <w:szCs w:val="24"/>
        </w:rPr>
        <w:t>Dans l’habitat et de l’urbanisme, l’efficacité des projets est faible car, à ce jour, les actions menées pour faire baisser la proportion de la population urbaine</w:t>
      </w:r>
      <w:r w:rsidR="00324F5C">
        <w:rPr>
          <w:rFonts w:ascii="Calibri" w:eastAsia="Calibri" w:hAnsi="Calibri" w:cs="Calibri"/>
          <w:sz w:val="24"/>
          <w:szCs w:val="24"/>
        </w:rPr>
        <w:t>,</w:t>
      </w:r>
      <w:r w:rsidR="00CC6B6A">
        <w:rPr>
          <w:rFonts w:ascii="Calibri" w:eastAsia="Calibri" w:hAnsi="Calibri" w:cs="Calibri"/>
          <w:sz w:val="24"/>
          <w:szCs w:val="24"/>
        </w:rPr>
        <w:t xml:space="preserve"> y compris les femmes,</w:t>
      </w:r>
      <w:r>
        <w:rPr>
          <w:rFonts w:ascii="Calibri" w:eastAsia="Calibri" w:hAnsi="Calibri" w:cs="Calibri"/>
          <w:sz w:val="24"/>
          <w:szCs w:val="24"/>
        </w:rPr>
        <w:t xml:space="preserve"> vivant en zone non lotie ont été infructueux. Elle s’est stabilisée à 17,2% entre 2015 et 2020. Aucune restructuration des zones d’habitat spontané dans les 13 chefs-lieux de région et à Pouytenga n’a pu être réalisée. Cela se justifie par la réticence de certaines populations dès la phase expérimentale sur le site pilote de Tengandogo à Ouagadougou.</w:t>
      </w:r>
    </w:p>
    <w:p w14:paraId="4F55D603" w14:textId="244DFDD1" w:rsidR="004936A4" w:rsidRDefault="0002754C">
      <w:pPr>
        <w:spacing w:line="240" w:lineRule="auto"/>
        <w:jc w:val="both"/>
        <w:rPr>
          <w:rFonts w:ascii="Calibri" w:eastAsia="Calibri" w:hAnsi="Calibri" w:cs="Calibri"/>
          <w:sz w:val="24"/>
          <w:szCs w:val="24"/>
        </w:rPr>
      </w:pPr>
      <w:r>
        <w:rPr>
          <w:rFonts w:ascii="Calibri" w:eastAsia="Calibri" w:hAnsi="Calibri" w:cs="Calibri"/>
          <w:sz w:val="24"/>
          <w:szCs w:val="24"/>
        </w:rPr>
        <w:t xml:space="preserve">Dans la santé, plusieurs actions ont été menées pour la promotion de la santé et d’accélération de la transition démographique, l’opérationnalisation du Centre des </w:t>
      </w:r>
      <w:r w:rsidR="00241566">
        <w:rPr>
          <w:rFonts w:ascii="Calibri" w:eastAsia="Calibri" w:hAnsi="Calibri" w:cs="Calibri"/>
          <w:sz w:val="24"/>
          <w:szCs w:val="24"/>
        </w:rPr>
        <w:t>O</w:t>
      </w:r>
      <w:r>
        <w:rPr>
          <w:rFonts w:ascii="Calibri" w:eastAsia="Calibri" w:hAnsi="Calibri" w:cs="Calibri"/>
          <w:sz w:val="24"/>
          <w:szCs w:val="24"/>
        </w:rPr>
        <w:t xml:space="preserve">pérations de </w:t>
      </w:r>
      <w:r w:rsidR="00241566">
        <w:rPr>
          <w:rFonts w:ascii="Calibri" w:eastAsia="Calibri" w:hAnsi="Calibri" w:cs="Calibri"/>
          <w:sz w:val="24"/>
          <w:szCs w:val="24"/>
        </w:rPr>
        <w:t>R</w:t>
      </w:r>
      <w:r>
        <w:rPr>
          <w:rFonts w:ascii="Calibri" w:eastAsia="Calibri" w:hAnsi="Calibri" w:cs="Calibri"/>
          <w:sz w:val="24"/>
          <w:szCs w:val="24"/>
        </w:rPr>
        <w:t xml:space="preserve">éponse aux </w:t>
      </w:r>
      <w:r w:rsidR="00241566">
        <w:rPr>
          <w:rFonts w:ascii="Calibri" w:eastAsia="Calibri" w:hAnsi="Calibri" w:cs="Calibri"/>
          <w:sz w:val="24"/>
          <w:szCs w:val="24"/>
        </w:rPr>
        <w:t>U</w:t>
      </w:r>
      <w:r>
        <w:rPr>
          <w:rFonts w:ascii="Calibri" w:eastAsia="Calibri" w:hAnsi="Calibri" w:cs="Calibri"/>
          <w:sz w:val="24"/>
          <w:szCs w:val="24"/>
        </w:rPr>
        <w:t xml:space="preserve">rgences </w:t>
      </w:r>
      <w:r w:rsidR="00241566">
        <w:rPr>
          <w:rFonts w:ascii="Calibri" w:eastAsia="Calibri" w:hAnsi="Calibri" w:cs="Calibri"/>
          <w:sz w:val="24"/>
          <w:szCs w:val="24"/>
        </w:rPr>
        <w:t>S</w:t>
      </w:r>
      <w:r>
        <w:rPr>
          <w:rFonts w:ascii="Calibri" w:eastAsia="Calibri" w:hAnsi="Calibri" w:cs="Calibri"/>
          <w:sz w:val="24"/>
          <w:szCs w:val="24"/>
        </w:rPr>
        <w:t xml:space="preserve">anitaires (CORUS) de l’Institut </w:t>
      </w:r>
      <w:r w:rsidR="00241566">
        <w:rPr>
          <w:rFonts w:ascii="Calibri" w:eastAsia="Calibri" w:hAnsi="Calibri" w:cs="Calibri"/>
          <w:sz w:val="24"/>
          <w:szCs w:val="24"/>
        </w:rPr>
        <w:t>N</w:t>
      </w:r>
      <w:r>
        <w:rPr>
          <w:rFonts w:ascii="Calibri" w:eastAsia="Calibri" w:hAnsi="Calibri" w:cs="Calibri"/>
          <w:sz w:val="24"/>
          <w:szCs w:val="24"/>
        </w:rPr>
        <w:t xml:space="preserve">ational de </w:t>
      </w:r>
      <w:r w:rsidR="00241566">
        <w:rPr>
          <w:rFonts w:ascii="Calibri" w:eastAsia="Calibri" w:hAnsi="Calibri" w:cs="Calibri"/>
          <w:sz w:val="24"/>
          <w:szCs w:val="24"/>
        </w:rPr>
        <w:t>S</w:t>
      </w:r>
      <w:r>
        <w:rPr>
          <w:rFonts w:ascii="Calibri" w:eastAsia="Calibri" w:hAnsi="Calibri" w:cs="Calibri"/>
          <w:sz w:val="24"/>
          <w:szCs w:val="24"/>
        </w:rPr>
        <w:t xml:space="preserve">anté </w:t>
      </w:r>
      <w:r w:rsidR="00241566">
        <w:rPr>
          <w:rFonts w:ascii="Calibri" w:eastAsia="Calibri" w:hAnsi="Calibri" w:cs="Calibri"/>
          <w:sz w:val="24"/>
          <w:szCs w:val="24"/>
        </w:rPr>
        <w:t>P</w:t>
      </w:r>
      <w:r>
        <w:rPr>
          <w:rFonts w:ascii="Calibri" w:eastAsia="Calibri" w:hAnsi="Calibri" w:cs="Calibri"/>
          <w:sz w:val="24"/>
          <w:szCs w:val="24"/>
        </w:rPr>
        <w:t>ublique (INSP</w:t>
      </w:r>
      <w:r w:rsidRPr="00FD5503">
        <w:rPr>
          <w:rFonts w:ascii="Calibri" w:eastAsia="Calibri" w:hAnsi="Calibri" w:cs="Calibri"/>
          <w:sz w:val="24"/>
          <w:szCs w:val="24"/>
        </w:rPr>
        <w:t>), etc., avec</w:t>
      </w:r>
      <w:r>
        <w:rPr>
          <w:rFonts w:ascii="Calibri" w:eastAsia="Calibri" w:hAnsi="Calibri" w:cs="Calibri"/>
          <w:sz w:val="24"/>
          <w:szCs w:val="24"/>
        </w:rPr>
        <w:t xml:space="preserve"> une certaine efficacité.</w:t>
      </w:r>
    </w:p>
    <w:p w14:paraId="2B000EAD" w14:textId="49C53AAF" w:rsidR="004936A4" w:rsidRDefault="0002754C">
      <w:pPr>
        <w:spacing w:line="240" w:lineRule="auto"/>
        <w:jc w:val="both"/>
        <w:rPr>
          <w:rFonts w:ascii="Calibri" w:eastAsia="Calibri" w:hAnsi="Calibri" w:cs="Calibri"/>
          <w:sz w:val="24"/>
          <w:szCs w:val="24"/>
        </w:rPr>
      </w:pPr>
      <w:r>
        <w:rPr>
          <w:rFonts w:ascii="Calibri" w:eastAsia="Calibri" w:hAnsi="Calibri" w:cs="Calibri"/>
          <w:sz w:val="24"/>
          <w:szCs w:val="24"/>
        </w:rPr>
        <w:t>Dans les infrastructures, sur les 7 projets analysés, 4 ont été exécutés à 100% pour un co</w:t>
      </w:r>
      <w:r w:rsidR="00351091" w:rsidRPr="00351091">
        <w:rPr>
          <w:rFonts w:ascii="Calibri" w:eastAsia="Calibri" w:hAnsi="Calibri" w:cs="Calibri"/>
          <w:sz w:val="24"/>
          <w:szCs w:val="24"/>
        </w:rPr>
        <w:t>û</w:t>
      </w:r>
      <w:r>
        <w:rPr>
          <w:rFonts w:ascii="Calibri" w:eastAsia="Calibri" w:hAnsi="Calibri" w:cs="Calibri"/>
          <w:sz w:val="24"/>
          <w:szCs w:val="24"/>
        </w:rPr>
        <w:t>t total de 11</w:t>
      </w:r>
      <w:r w:rsidR="00A22CF0">
        <w:rPr>
          <w:rFonts w:ascii="Calibri" w:eastAsia="Calibri" w:hAnsi="Calibri" w:cs="Calibri"/>
          <w:sz w:val="24"/>
          <w:szCs w:val="24"/>
        </w:rPr>
        <w:t xml:space="preserve">.67 milliards de </w:t>
      </w:r>
      <w:r>
        <w:rPr>
          <w:rFonts w:ascii="Calibri" w:eastAsia="Calibri" w:hAnsi="Calibri" w:cs="Calibri"/>
          <w:sz w:val="24"/>
          <w:szCs w:val="24"/>
        </w:rPr>
        <w:t xml:space="preserve">FCFA. </w:t>
      </w:r>
    </w:p>
    <w:p w14:paraId="3C3FD7AB" w14:textId="09318DCC" w:rsidR="004936A4" w:rsidRPr="00187D32" w:rsidRDefault="0002754C" w:rsidP="005550EC">
      <w:pPr>
        <w:spacing w:after="0" w:line="240" w:lineRule="auto"/>
        <w:jc w:val="both"/>
        <w:rPr>
          <w:rFonts w:asciiTheme="majorHAnsi" w:eastAsia="Calibri" w:hAnsiTheme="majorHAnsi" w:cstheme="majorBidi"/>
          <w:color w:val="6C643F" w:themeColor="accent6" w:themeShade="BF"/>
          <w:sz w:val="26"/>
          <w:szCs w:val="26"/>
        </w:rPr>
      </w:pPr>
      <w:r w:rsidRPr="00187D32">
        <w:rPr>
          <w:rFonts w:asciiTheme="majorHAnsi" w:eastAsia="Calibri" w:hAnsiTheme="majorHAnsi" w:cstheme="majorBidi"/>
          <w:color w:val="6C643F" w:themeColor="accent6" w:themeShade="BF"/>
          <w:sz w:val="26"/>
          <w:szCs w:val="26"/>
        </w:rPr>
        <w:t>V.2.3. Impacts</w:t>
      </w:r>
    </w:p>
    <w:p w14:paraId="78418645" w14:textId="77777777" w:rsidR="004936A4" w:rsidRDefault="0002754C" w:rsidP="005550EC">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Dans les transports, concernant l’atténuation, l’exécution des projets a permis d’éviter la production de 3 320 Gg de CO2 pour une cible de 29,3 Gg de CO2 pour les projets inconditionnels et 244 Gg de CO2 pour le scénario conditionnel.  </w:t>
      </w:r>
    </w:p>
    <w:p w14:paraId="49821056" w14:textId="77777777" w:rsidR="0057444B" w:rsidRDefault="0057444B" w:rsidP="005550EC">
      <w:pPr>
        <w:spacing w:after="0" w:line="240" w:lineRule="auto"/>
        <w:jc w:val="both"/>
        <w:rPr>
          <w:rFonts w:ascii="Calibri" w:eastAsia="Calibri" w:hAnsi="Calibri" w:cs="Calibri"/>
          <w:sz w:val="24"/>
          <w:szCs w:val="24"/>
        </w:rPr>
      </w:pPr>
    </w:p>
    <w:p w14:paraId="04C90C64" w14:textId="2348C307" w:rsidR="004936A4" w:rsidRDefault="0002754C">
      <w:pPr>
        <w:spacing w:line="240" w:lineRule="auto"/>
        <w:jc w:val="both"/>
        <w:rPr>
          <w:rFonts w:ascii="Calibri" w:eastAsia="Calibri" w:hAnsi="Calibri" w:cs="Calibri"/>
          <w:sz w:val="24"/>
          <w:szCs w:val="24"/>
        </w:rPr>
      </w:pPr>
      <w:r>
        <w:rPr>
          <w:rFonts w:ascii="Calibri" w:eastAsia="Calibri" w:hAnsi="Calibri" w:cs="Calibri"/>
          <w:sz w:val="24"/>
          <w:szCs w:val="24"/>
        </w:rPr>
        <w:t xml:space="preserve">Les projets exécutés dans la météorologie ont permis, d’une part, à un million </w:t>
      </w:r>
      <w:r w:rsidR="00CC6B6A">
        <w:rPr>
          <w:rFonts w:ascii="Calibri" w:eastAsia="Calibri" w:hAnsi="Calibri" w:cs="Calibri"/>
          <w:sz w:val="24"/>
          <w:szCs w:val="24"/>
        </w:rPr>
        <w:t xml:space="preserve">d’homme et de femmes </w:t>
      </w:r>
      <w:r>
        <w:rPr>
          <w:rFonts w:ascii="Calibri" w:eastAsia="Calibri" w:hAnsi="Calibri" w:cs="Calibri"/>
          <w:sz w:val="24"/>
          <w:szCs w:val="24"/>
        </w:rPr>
        <w:t>d’avoir un accès à des bulletins climatologiques perfectionnés diffusés régulièrement par les stations de radio locales. D’autre part, elle a permis à des centaines de milliers de personnes d’avoir un accès aux avis de tempête de sable au Burkina Faso.</w:t>
      </w:r>
    </w:p>
    <w:p w14:paraId="2FED0D9A" w14:textId="24159057" w:rsidR="004936A4" w:rsidRDefault="0002754C">
      <w:pPr>
        <w:spacing w:line="240" w:lineRule="auto"/>
        <w:jc w:val="both"/>
        <w:rPr>
          <w:rFonts w:ascii="Calibri" w:eastAsia="Calibri" w:hAnsi="Calibri" w:cs="Calibri"/>
          <w:sz w:val="24"/>
          <w:szCs w:val="24"/>
        </w:rPr>
      </w:pPr>
      <w:r>
        <w:rPr>
          <w:rFonts w:ascii="Calibri" w:eastAsia="Calibri" w:hAnsi="Calibri" w:cs="Calibri"/>
          <w:sz w:val="24"/>
          <w:szCs w:val="24"/>
        </w:rPr>
        <w:t xml:space="preserve">En matière de promotion de la santé et d’accélération de la transition démographique, on note la construction ou normalisation de 220 nouveaux </w:t>
      </w:r>
      <w:r w:rsidR="0045179B" w:rsidRPr="0045179B">
        <w:rPr>
          <w:rFonts w:ascii="Calibri" w:eastAsia="Calibri" w:hAnsi="Calibri" w:cs="Calibri"/>
          <w:sz w:val="24"/>
          <w:szCs w:val="24"/>
        </w:rPr>
        <w:t xml:space="preserve">Centre de </w:t>
      </w:r>
      <w:r w:rsidR="0045179B">
        <w:rPr>
          <w:rFonts w:ascii="Calibri" w:eastAsia="Calibri" w:hAnsi="Calibri" w:cs="Calibri"/>
          <w:sz w:val="24"/>
          <w:szCs w:val="24"/>
        </w:rPr>
        <w:t>S</w:t>
      </w:r>
      <w:r w:rsidR="0045179B" w:rsidRPr="0045179B">
        <w:rPr>
          <w:rFonts w:ascii="Calibri" w:eastAsia="Calibri" w:hAnsi="Calibri" w:cs="Calibri"/>
          <w:sz w:val="24"/>
          <w:szCs w:val="24"/>
        </w:rPr>
        <w:t xml:space="preserve">anté et de </w:t>
      </w:r>
      <w:r w:rsidR="0045179B">
        <w:rPr>
          <w:rFonts w:ascii="Calibri" w:eastAsia="Calibri" w:hAnsi="Calibri" w:cs="Calibri"/>
          <w:sz w:val="24"/>
          <w:szCs w:val="24"/>
        </w:rPr>
        <w:t>P</w:t>
      </w:r>
      <w:r w:rsidR="0045179B" w:rsidRPr="0045179B">
        <w:rPr>
          <w:rFonts w:ascii="Calibri" w:eastAsia="Calibri" w:hAnsi="Calibri" w:cs="Calibri"/>
          <w:sz w:val="24"/>
          <w:szCs w:val="24"/>
        </w:rPr>
        <w:t xml:space="preserve">romotion </w:t>
      </w:r>
      <w:r w:rsidR="0045179B" w:rsidRPr="00381358">
        <w:rPr>
          <w:rFonts w:ascii="Calibri" w:eastAsia="Calibri" w:hAnsi="Calibri" w:cs="Calibri"/>
          <w:sz w:val="24"/>
          <w:szCs w:val="24"/>
        </w:rPr>
        <w:t>Sociale (</w:t>
      </w:r>
      <w:r w:rsidRPr="00381358">
        <w:rPr>
          <w:rFonts w:ascii="Calibri" w:eastAsia="Calibri" w:hAnsi="Calibri" w:cs="Calibri"/>
          <w:sz w:val="24"/>
          <w:szCs w:val="24"/>
        </w:rPr>
        <w:t>CSPS</w:t>
      </w:r>
      <w:r w:rsidR="0045179B" w:rsidRPr="00381358">
        <w:rPr>
          <w:rFonts w:ascii="Calibri" w:eastAsia="Calibri" w:hAnsi="Calibri" w:cs="Calibri"/>
          <w:sz w:val="24"/>
          <w:szCs w:val="24"/>
        </w:rPr>
        <w:t>)</w:t>
      </w:r>
      <w:r>
        <w:rPr>
          <w:rFonts w:ascii="Calibri" w:eastAsia="Calibri" w:hAnsi="Calibri" w:cs="Calibri"/>
          <w:sz w:val="24"/>
          <w:szCs w:val="24"/>
        </w:rPr>
        <w:t xml:space="preserve"> dont 93 CSPS construits en 2018. Les collectivités territoriales ont construit ou réhabilité plus de 180 infrastructures sanitaires dont 68 CSPS, 19 maternités et 96 dispensaires. Le personnel hospitalier a été également renforcé, le ratio habitants / infirmiers d’Etat est passé de 3 281 en 2018 à 2 028 en 2019 pour une cible de 3500. </w:t>
      </w:r>
    </w:p>
    <w:p w14:paraId="342FAC68" w14:textId="77777777" w:rsidR="004936A4" w:rsidRDefault="0002754C">
      <w:pPr>
        <w:spacing w:line="240" w:lineRule="auto"/>
        <w:jc w:val="both"/>
        <w:rPr>
          <w:rFonts w:ascii="Calibri" w:eastAsia="Calibri" w:hAnsi="Calibri" w:cs="Calibri"/>
          <w:sz w:val="24"/>
          <w:szCs w:val="24"/>
        </w:rPr>
      </w:pPr>
      <w:r>
        <w:rPr>
          <w:rFonts w:ascii="Calibri" w:eastAsia="Calibri" w:hAnsi="Calibri" w:cs="Calibri"/>
          <w:sz w:val="24"/>
          <w:szCs w:val="24"/>
        </w:rPr>
        <w:t>Les projets d’infrastructures ont permis de réduire la vulnérabilité des populations face aux inondations. Plus spécifiquement pour le canal d'assainissement au quartier Patte d’Oie à Ouagadougou, les entretiens réalisés ont permis d’avoir un niveau de satisfaction de 100% sur la capacité de l’ouvrage à répondre au besoin d’assainissement de la localité et à pallier aux inondations.</w:t>
      </w:r>
    </w:p>
    <w:p w14:paraId="28F8EB7E" w14:textId="3B91FAEF" w:rsidR="004936A4" w:rsidRPr="00187D32" w:rsidRDefault="0002754C" w:rsidP="005550EC">
      <w:pPr>
        <w:spacing w:after="0" w:line="240" w:lineRule="auto"/>
        <w:jc w:val="both"/>
        <w:rPr>
          <w:rFonts w:asciiTheme="majorHAnsi" w:eastAsia="Calibri" w:hAnsiTheme="majorHAnsi" w:cstheme="majorBidi"/>
          <w:color w:val="6C643F" w:themeColor="accent6" w:themeShade="BF"/>
          <w:sz w:val="26"/>
          <w:szCs w:val="26"/>
        </w:rPr>
      </w:pPr>
      <w:r w:rsidRPr="00187D32">
        <w:rPr>
          <w:rFonts w:asciiTheme="majorHAnsi" w:eastAsia="Calibri" w:hAnsiTheme="majorHAnsi" w:cstheme="majorBidi"/>
          <w:color w:val="6C643F" w:themeColor="accent6" w:themeShade="BF"/>
          <w:sz w:val="26"/>
          <w:szCs w:val="26"/>
        </w:rPr>
        <w:t>V.2.4. Durabilité</w:t>
      </w:r>
    </w:p>
    <w:p w14:paraId="706F04BB" w14:textId="710F7637" w:rsidR="004936A4" w:rsidRDefault="0002754C" w:rsidP="005550EC">
      <w:pPr>
        <w:spacing w:after="0" w:line="240" w:lineRule="auto"/>
        <w:jc w:val="both"/>
        <w:rPr>
          <w:rFonts w:ascii="Calibri" w:eastAsia="Calibri" w:hAnsi="Calibri" w:cs="Calibri"/>
          <w:sz w:val="24"/>
          <w:szCs w:val="24"/>
        </w:rPr>
      </w:pPr>
      <w:r>
        <w:rPr>
          <w:rFonts w:ascii="Calibri" w:eastAsia="Calibri" w:hAnsi="Calibri" w:cs="Calibri"/>
          <w:sz w:val="24"/>
          <w:szCs w:val="24"/>
        </w:rPr>
        <w:t>Les différents projets ont été exécutés avec la participation des structures et départements ministériels bénéficiaires. Ils ont donné lieu à la création de cellules projet adossées sur les compétences internes</w:t>
      </w:r>
      <w:r w:rsidR="00BA013B">
        <w:rPr>
          <w:rFonts w:ascii="Calibri" w:eastAsia="Calibri" w:hAnsi="Calibri" w:cs="Calibri"/>
          <w:sz w:val="24"/>
          <w:szCs w:val="24"/>
        </w:rPr>
        <w:t>.</w:t>
      </w:r>
    </w:p>
    <w:p w14:paraId="07282032" w14:textId="77777777" w:rsidR="005550EC" w:rsidRDefault="005550EC" w:rsidP="005550EC">
      <w:pPr>
        <w:spacing w:after="0" w:line="240" w:lineRule="auto"/>
        <w:jc w:val="both"/>
        <w:rPr>
          <w:rFonts w:ascii="Calibri" w:eastAsia="Calibri" w:hAnsi="Calibri" w:cs="Calibri"/>
          <w:sz w:val="24"/>
          <w:szCs w:val="24"/>
        </w:rPr>
      </w:pPr>
    </w:p>
    <w:p w14:paraId="6E157078" w14:textId="77777777" w:rsidR="004936A4" w:rsidRPr="00187D32" w:rsidRDefault="0002754C" w:rsidP="005550EC">
      <w:pPr>
        <w:spacing w:after="0" w:line="240" w:lineRule="auto"/>
        <w:jc w:val="both"/>
        <w:rPr>
          <w:rFonts w:asciiTheme="majorHAnsi" w:eastAsia="Calibri" w:hAnsiTheme="majorHAnsi" w:cstheme="majorBidi"/>
          <w:color w:val="6C643F" w:themeColor="accent6" w:themeShade="BF"/>
          <w:sz w:val="26"/>
          <w:szCs w:val="26"/>
        </w:rPr>
      </w:pPr>
      <w:r w:rsidRPr="00187D32">
        <w:rPr>
          <w:rFonts w:asciiTheme="majorHAnsi" w:eastAsia="Calibri" w:hAnsiTheme="majorHAnsi" w:cstheme="majorBidi"/>
          <w:color w:val="6C643F" w:themeColor="accent6" w:themeShade="BF"/>
          <w:sz w:val="26"/>
          <w:szCs w:val="26"/>
        </w:rPr>
        <w:t>V.2.5. Prise en compte du genre</w:t>
      </w:r>
    </w:p>
    <w:p w14:paraId="47889338" w14:textId="5F0F05C7" w:rsidR="004936A4" w:rsidRDefault="0002754C" w:rsidP="005550EC">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La présentation des résultats de la plupart des projets n’intègre pas le genre. Dans les transports, les données sur le nombre de femmes y travaillant ou usagères ne sont pas disponibles. Seul le projet </w:t>
      </w:r>
      <w:r w:rsidRPr="00241566">
        <w:rPr>
          <w:rFonts w:ascii="Calibri" w:eastAsia="Calibri" w:hAnsi="Calibri" w:cs="Calibri"/>
          <w:sz w:val="24"/>
          <w:szCs w:val="24"/>
        </w:rPr>
        <w:t>PTDI</w:t>
      </w:r>
      <w:r w:rsidR="00241566" w:rsidRPr="00241566">
        <w:rPr>
          <w:rFonts w:ascii="Calibri" w:eastAsia="Calibri" w:hAnsi="Calibri" w:cs="Calibri"/>
          <w:sz w:val="24"/>
          <w:szCs w:val="24"/>
        </w:rPr>
        <w:t>U</w:t>
      </w:r>
      <w:r>
        <w:rPr>
          <w:rFonts w:ascii="Calibri" w:eastAsia="Calibri" w:hAnsi="Calibri" w:cs="Calibri"/>
          <w:sz w:val="24"/>
          <w:szCs w:val="24"/>
        </w:rPr>
        <w:t xml:space="preserve"> estime le </w:t>
      </w:r>
      <w:r w:rsidR="00CC6B6A">
        <w:rPr>
          <w:rFonts w:ascii="Calibri" w:eastAsia="Calibri" w:hAnsi="Calibri" w:cs="Calibri"/>
          <w:sz w:val="24"/>
          <w:szCs w:val="24"/>
        </w:rPr>
        <w:t>pourcentage des</w:t>
      </w:r>
      <w:r>
        <w:rPr>
          <w:rFonts w:ascii="Calibri" w:eastAsia="Calibri" w:hAnsi="Calibri" w:cs="Calibri"/>
          <w:sz w:val="24"/>
          <w:szCs w:val="24"/>
        </w:rPr>
        <w:t xml:space="preserve"> femmes à environ 53% des bénéficiaires du projet. Le PAMOSET en cours d’exécution, devrait permettre à 1 767 500 femmes de bénéficier de coûts du transport réduit pour influer sur les prix des produits importés et des produits de base, y compris les produits alimentaires. </w:t>
      </w:r>
    </w:p>
    <w:p w14:paraId="0805E87A" w14:textId="77777777" w:rsidR="000227C4" w:rsidRDefault="000227C4" w:rsidP="005550EC">
      <w:pPr>
        <w:spacing w:after="0" w:line="240" w:lineRule="auto"/>
        <w:jc w:val="both"/>
        <w:rPr>
          <w:rFonts w:ascii="Calibri" w:eastAsia="Calibri" w:hAnsi="Calibri" w:cs="Calibri"/>
          <w:sz w:val="24"/>
          <w:szCs w:val="24"/>
        </w:rPr>
      </w:pPr>
    </w:p>
    <w:p w14:paraId="5D84AD46" w14:textId="77777777" w:rsidR="004936A4" w:rsidRDefault="0002754C" w:rsidP="009C3314">
      <w:pPr>
        <w:spacing w:after="0" w:line="240" w:lineRule="auto"/>
        <w:jc w:val="both"/>
        <w:rPr>
          <w:rFonts w:ascii="Calibri" w:eastAsia="Calibri" w:hAnsi="Calibri" w:cs="Calibri"/>
          <w:sz w:val="24"/>
          <w:szCs w:val="24"/>
        </w:rPr>
      </w:pPr>
      <w:r>
        <w:rPr>
          <w:rFonts w:ascii="Calibri" w:eastAsia="Calibri" w:hAnsi="Calibri" w:cs="Calibri"/>
          <w:sz w:val="24"/>
          <w:szCs w:val="24"/>
        </w:rPr>
        <w:lastRenderedPageBreak/>
        <w:t xml:space="preserve">Globalement, les actions sur la qualité de l’offre de transport en commun ont bénéficié à 693 000 femmes usagères des transports en commun (42%). Des enquêtes approfondies devront être menées pour situer la place de la femme dans la production de l’offre de transport, mais également en tant que bénéficiaire de service de transport. </w:t>
      </w:r>
    </w:p>
    <w:p w14:paraId="494FEEEC" w14:textId="07A3FF46" w:rsidR="004936A4" w:rsidRPr="00A22CF0" w:rsidRDefault="00902ADA" w:rsidP="000227C4">
      <w:pPr>
        <w:jc w:val="both"/>
        <w:rPr>
          <w:rFonts w:eastAsia="Calibri"/>
        </w:rPr>
      </w:pPr>
      <w:r>
        <w:rPr>
          <w:rFonts w:asciiTheme="majorHAnsi" w:eastAsia="Calibri" w:hAnsiTheme="majorHAnsi" w:cstheme="majorBidi"/>
          <w:b/>
          <w:bCs/>
          <w:color w:val="54A021" w:themeColor="accent2"/>
          <w:sz w:val="30"/>
          <w:szCs w:val="30"/>
        </w:rPr>
        <w:br/>
      </w:r>
      <w:r w:rsidR="000227C4">
        <w:rPr>
          <w:rFonts w:asciiTheme="majorHAnsi" w:eastAsia="Calibri" w:hAnsiTheme="majorHAnsi" w:cstheme="majorBidi"/>
          <w:b/>
          <w:bCs/>
          <w:color w:val="54A021" w:themeColor="accent2"/>
          <w:sz w:val="30"/>
          <w:szCs w:val="30"/>
        </w:rPr>
        <w:t xml:space="preserve">VI. </w:t>
      </w:r>
      <w:r w:rsidR="000227C4" w:rsidRPr="000227C4">
        <w:rPr>
          <w:rFonts w:asciiTheme="majorHAnsi" w:eastAsia="Calibri" w:hAnsiTheme="majorHAnsi" w:cstheme="majorBidi"/>
          <w:b/>
          <w:bCs/>
          <w:color w:val="54A021" w:themeColor="accent2"/>
          <w:sz w:val="30"/>
          <w:szCs w:val="30"/>
        </w:rPr>
        <w:t>ANALYSE DES ACQUIS ET CONTRAINTES, LECONS APPRISES</w:t>
      </w:r>
    </w:p>
    <w:p w14:paraId="1A8D9F6A" w14:textId="5BCC362E" w:rsidR="004936A4" w:rsidRDefault="0002754C" w:rsidP="005550EC">
      <w:pPr>
        <w:spacing w:after="0" w:line="240" w:lineRule="auto"/>
        <w:jc w:val="both"/>
        <w:rPr>
          <w:rFonts w:ascii="Calibri" w:eastAsia="Calibri" w:hAnsi="Calibri" w:cs="Calibri"/>
          <w:sz w:val="24"/>
          <w:szCs w:val="24"/>
        </w:rPr>
      </w:pPr>
      <w:r>
        <w:rPr>
          <w:rFonts w:ascii="Calibri" w:eastAsia="Calibri" w:hAnsi="Calibri" w:cs="Calibri"/>
          <w:sz w:val="24"/>
          <w:szCs w:val="24"/>
        </w:rPr>
        <w:t>L’évaluation de la CDN a permis de relever un certain nombre de contraintes d’ordre divers</w:t>
      </w:r>
      <w:r w:rsidR="00A22CF0">
        <w:rPr>
          <w:rFonts w:ascii="Calibri" w:eastAsia="Calibri" w:hAnsi="Calibri" w:cs="Calibri"/>
          <w:sz w:val="24"/>
          <w:szCs w:val="24"/>
        </w:rPr>
        <w:t xml:space="preserve">, </w:t>
      </w:r>
      <w:r>
        <w:rPr>
          <w:rFonts w:ascii="Calibri" w:eastAsia="Calibri" w:hAnsi="Calibri" w:cs="Calibri"/>
          <w:sz w:val="24"/>
          <w:szCs w:val="24"/>
        </w:rPr>
        <w:t>cou</w:t>
      </w:r>
      <w:r w:rsidR="00A22CF0">
        <w:rPr>
          <w:rFonts w:ascii="Calibri" w:eastAsia="Calibri" w:hAnsi="Calibri" w:cs="Calibri"/>
          <w:sz w:val="24"/>
          <w:szCs w:val="24"/>
        </w:rPr>
        <w:t>v</w:t>
      </w:r>
      <w:r>
        <w:rPr>
          <w:rFonts w:ascii="Calibri" w:eastAsia="Calibri" w:hAnsi="Calibri" w:cs="Calibri"/>
          <w:sz w:val="24"/>
          <w:szCs w:val="24"/>
        </w:rPr>
        <w:t>rant la gouvernance, le suivi-évaluation, le financement, les relations entre acteurs</w:t>
      </w:r>
      <w:r w:rsidR="00CC6B6A">
        <w:rPr>
          <w:rFonts w:ascii="Calibri" w:eastAsia="Calibri" w:hAnsi="Calibri" w:cs="Calibri"/>
          <w:sz w:val="24"/>
          <w:szCs w:val="24"/>
        </w:rPr>
        <w:t xml:space="preserve"> et actrices</w:t>
      </w:r>
      <w:r>
        <w:rPr>
          <w:rFonts w:ascii="Calibri" w:eastAsia="Calibri" w:hAnsi="Calibri" w:cs="Calibri"/>
          <w:sz w:val="24"/>
          <w:szCs w:val="24"/>
        </w:rPr>
        <w:t>, la communication, la gestion et le partage des connaissances.</w:t>
      </w:r>
    </w:p>
    <w:p w14:paraId="46296A84" w14:textId="20E78119" w:rsidR="004936A4" w:rsidRDefault="0002754C" w:rsidP="005550EC">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La plupart des contraintes évoquées dans </w:t>
      </w:r>
      <w:r w:rsidR="00764875">
        <w:rPr>
          <w:rFonts w:ascii="Calibri" w:eastAsia="Calibri" w:hAnsi="Calibri" w:cs="Calibri"/>
          <w:sz w:val="24"/>
          <w:szCs w:val="24"/>
        </w:rPr>
        <w:t>un</w:t>
      </w:r>
      <w:r>
        <w:rPr>
          <w:rFonts w:ascii="Calibri" w:eastAsia="Calibri" w:hAnsi="Calibri" w:cs="Calibri"/>
          <w:sz w:val="24"/>
          <w:szCs w:val="24"/>
        </w:rPr>
        <w:t xml:space="preserve"> rapport d’évaluation de la GIZ « Etat des lieux de la mise en œuvre de la contribution déterminée au niveau National (CDN) du Burkina Faso » sont ressorties. Cela se justifie par le fait que, d’une manière générale, les résultats quantitatifs d’un projet sont fortement impactés par la coordination de son exécution. </w:t>
      </w:r>
    </w:p>
    <w:p w14:paraId="3DE82EF5" w14:textId="77777777" w:rsidR="004936A4" w:rsidRDefault="0002754C" w:rsidP="005550EC">
      <w:pPr>
        <w:spacing w:after="0" w:line="240" w:lineRule="auto"/>
        <w:jc w:val="both"/>
        <w:rPr>
          <w:rFonts w:ascii="Calibri" w:eastAsia="Calibri" w:hAnsi="Calibri" w:cs="Calibri"/>
          <w:sz w:val="24"/>
          <w:szCs w:val="24"/>
        </w:rPr>
      </w:pPr>
      <w:r>
        <w:rPr>
          <w:rFonts w:ascii="Calibri" w:eastAsia="Calibri" w:hAnsi="Calibri" w:cs="Calibri"/>
          <w:sz w:val="24"/>
          <w:szCs w:val="24"/>
        </w:rPr>
        <w:t>Certains acquis et contraintes sont communs à plusieurs secteurs, tandis que d’autres sont spécifiques.</w:t>
      </w:r>
    </w:p>
    <w:p w14:paraId="1C17BA87" w14:textId="77777777" w:rsidR="000470ED" w:rsidRDefault="000470ED" w:rsidP="005550EC">
      <w:pPr>
        <w:spacing w:after="0" w:line="240" w:lineRule="auto"/>
        <w:jc w:val="both"/>
        <w:rPr>
          <w:rFonts w:ascii="Calibri" w:eastAsia="Calibri" w:hAnsi="Calibri" w:cs="Calibri"/>
          <w:b/>
          <w:color w:val="6B911C" w:themeColor="accent1" w:themeShade="BF"/>
          <w:sz w:val="24"/>
          <w:szCs w:val="24"/>
        </w:rPr>
      </w:pPr>
    </w:p>
    <w:p w14:paraId="0F5E4127" w14:textId="578ECB3D" w:rsidR="004936A4" w:rsidRPr="00C13AD1" w:rsidRDefault="0002754C" w:rsidP="005550EC">
      <w:pPr>
        <w:spacing w:after="0" w:line="240" w:lineRule="auto"/>
        <w:jc w:val="both"/>
        <w:rPr>
          <w:rFonts w:asciiTheme="majorHAnsi" w:eastAsia="Calibri" w:hAnsiTheme="majorHAnsi" w:cstheme="majorBidi"/>
          <w:color w:val="3E7718" w:themeColor="accent2" w:themeShade="BF"/>
          <w:sz w:val="28"/>
          <w:szCs w:val="28"/>
        </w:rPr>
      </w:pPr>
      <w:r w:rsidRPr="00C13AD1">
        <w:rPr>
          <w:rFonts w:asciiTheme="majorHAnsi" w:eastAsia="Calibri" w:hAnsiTheme="majorHAnsi" w:cstheme="majorBidi"/>
          <w:color w:val="3E7718" w:themeColor="accent2" w:themeShade="BF"/>
          <w:sz w:val="28"/>
          <w:szCs w:val="28"/>
        </w:rPr>
        <w:t>VI.1. Les acquis communs</w:t>
      </w:r>
    </w:p>
    <w:p w14:paraId="2DF627F9" w14:textId="4A602F4A" w:rsidR="004936A4" w:rsidRPr="00A3642F" w:rsidRDefault="0002754C" w:rsidP="005550EC">
      <w:pPr>
        <w:numPr>
          <w:ilvl w:val="0"/>
          <w:numId w:val="39"/>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Existence d’un </w:t>
      </w:r>
      <w:r w:rsidRPr="00A3642F">
        <w:rPr>
          <w:rFonts w:ascii="Calibri" w:eastAsia="Calibri" w:hAnsi="Calibri" w:cs="Calibri"/>
          <w:color w:val="000000"/>
          <w:sz w:val="24"/>
          <w:szCs w:val="24"/>
        </w:rPr>
        <w:t xml:space="preserve">Plan national d’adaptation (PNA) au </w:t>
      </w:r>
      <w:r w:rsidR="007158DF" w:rsidRPr="00A3642F">
        <w:rPr>
          <w:rFonts w:ascii="Calibri" w:eastAsia="Calibri" w:hAnsi="Calibri" w:cs="Calibri"/>
          <w:color w:val="000000"/>
          <w:sz w:val="24"/>
          <w:szCs w:val="24"/>
        </w:rPr>
        <w:t>changement climatique</w:t>
      </w:r>
      <w:r w:rsidR="00CC6B6A" w:rsidRPr="00A3642F">
        <w:rPr>
          <w:rFonts w:ascii="Calibri" w:eastAsia="Calibri" w:hAnsi="Calibri" w:cs="Calibri"/>
          <w:color w:val="000000"/>
          <w:sz w:val="24"/>
          <w:szCs w:val="24"/>
        </w:rPr>
        <w:t xml:space="preserve"> et d’un PNA pour les associations féminines</w:t>
      </w:r>
      <w:r w:rsidRPr="00A3642F">
        <w:rPr>
          <w:rFonts w:ascii="Calibri" w:eastAsia="Calibri" w:hAnsi="Calibri" w:cs="Calibri"/>
          <w:color w:val="000000"/>
          <w:sz w:val="24"/>
          <w:szCs w:val="24"/>
        </w:rPr>
        <w:t>,</w:t>
      </w:r>
    </w:p>
    <w:p w14:paraId="576834C7" w14:textId="3A2AF9F5" w:rsidR="004936A4" w:rsidRPr="00A3642F" w:rsidRDefault="0002754C" w:rsidP="00A22CF0">
      <w:pPr>
        <w:numPr>
          <w:ilvl w:val="0"/>
          <w:numId w:val="39"/>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sidRPr="00A3642F">
        <w:rPr>
          <w:rFonts w:ascii="Calibri" w:eastAsia="Calibri" w:hAnsi="Calibri" w:cs="Calibri"/>
          <w:color w:val="000000"/>
          <w:sz w:val="24"/>
          <w:szCs w:val="24"/>
        </w:rPr>
        <w:t xml:space="preserve">Existence de catalogues de bonnes pratiques d’adaptation au </w:t>
      </w:r>
      <w:r w:rsidR="007158DF" w:rsidRPr="00A3642F">
        <w:rPr>
          <w:rFonts w:ascii="Calibri" w:eastAsia="Calibri" w:hAnsi="Calibri" w:cs="Calibri"/>
          <w:color w:val="000000"/>
          <w:sz w:val="24"/>
          <w:szCs w:val="24"/>
        </w:rPr>
        <w:t>changement climatique</w:t>
      </w:r>
      <w:r w:rsidRPr="00A3642F">
        <w:rPr>
          <w:rFonts w:ascii="Calibri" w:eastAsia="Calibri" w:hAnsi="Calibri" w:cs="Calibri"/>
          <w:color w:val="000000"/>
          <w:sz w:val="24"/>
          <w:szCs w:val="24"/>
        </w:rPr>
        <w:t>,</w:t>
      </w:r>
    </w:p>
    <w:p w14:paraId="53BD8E68" w14:textId="49972817" w:rsidR="004936A4" w:rsidRDefault="0002754C" w:rsidP="00A22CF0">
      <w:pPr>
        <w:numPr>
          <w:ilvl w:val="0"/>
          <w:numId w:val="39"/>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Intégration de l’adaptation aux </w:t>
      </w:r>
      <w:r w:rsidR="007158DF">
        <w:rPr>
          <w:rFonts w:ascii="Calibri" w:eastAsia="Calibri" w:hAnsi="Calibri" w:cs="Calibri"/>
          <w:color w:val="000000"/>
          <w:sz w:val="24"/>
          <w:szCs w:val="24"/>
        </w:rPr>
        <w:t>changement climatique</w:t>
      </w:r>
      <w:r>
        <w:rPr>
          <w:rFonts w:ascii="Calibri" w:eastAsia="Calibri" w:hAnsi="Calibri" w:cs="Calibri"/>
          <w:color w:val="000000"/>
          <w:sz w:val="24"/>
          <w:szCs w:val="24"/>
        </w:rPr>
        <w:t xml:space="preserve"> dans les politiques et stratégies et autres référentiels spécifiques,</w:t>
      </w:r>
    </w:p>
    <w:p w14:paraId="2A0D1D00" w14:textId="77777777" w:rsidR="004936A4" w:rsidRDefault="0002754C" w:rsidP="00A22CF0">
      <w:pPr>
        <w:numPr>
          <w:ilvl w:val="0"/>
          <w:numId w:val="39"/>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Existence ou disponibilité de compétences diverses (par exemple, pour l’évaluation de la contribution de l’environnement à la réduction des GES),</w:t>
      </w:r>
    </w:p>
    <w:p w14:paraId="541E4E15" w14:textId="5DA63A41" w:rsidR="004936A4" w:rsidRDefault="0002754C" w:rsidP="00607FFB">
      <w:pPr>
        <w:numPr>
          <w:ilvl w:val="0"/>
          <w:numId w:val="39"/>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Existence d’une Direction générale en charge du suivi-évaluation des projets et programmes </w:t>
      </w:r>
      <w:bookmarkStart w:id="5" w:name="_Hlk171249186"/>
      <w:r w:rsidRPr="000F232F">
        <w:rPr>
          <w:rFonts w:ascii="Calibri" w:eastAsia="Calibri" w:hAnsi="Calibri" w:cs="Calibri"/>
          <w:color w:val="000000"/>
          <w:sz w:val="24"/>
          <w:szCs w:val="24"/>
        </w:rPr>
        <w:t>(</w:t>
      </w:r>
      <w:r w:rsidR="0045179B" w:rsidRPr="00E4481A">
        <w:rPr>
          <w:rFonts w:ascii="Calibri" w:eastAsia="Calibri" w:hAnsi="Calibri" w:cs="Calibri"/>
          <w:color w:val="000000"/>
          <w:sz w:val="24"/>
          <w:szCs w:val="24"/>
        </w:rPr>
        <w:t>Direction Générale des Etudes et des Statistiques Sectorielles -</w:t>
      </w:r>
      <w:r w:rsidRPr="0045179B">
        <w:rPr>
          <w:rFonts w:ascii="Calibri" w:eastAsia="Calibri" w:hAnsi="Calibri" w:cs="Calibri"/>
          <w:color w:val="000000"/>
          <w:sz w:val="24"/>
          <w:szCs w:val="24"/>
        </w:rPr>
        <w:t>DGESS).</w:t>
      </w:r>
    </w:p>
    <w:p w14:paraId="1DF887C5" w14:textId="77777777" w:rsidR="00607FFB" w:rsidRPr="0045179B" w:rsidRDefault="00607FFB" w:rsidP="00607FFB">
      <w:pPr>
        <w:pBdr>
          <w:top w:val="nil"/>
          <w:left w:val="nil"/>
          <w:bottom w:val="nil"/>
          <w:right w:val="nil"/>
          <w:between w:val="nil"/>
        </w:pBdr>
        <w:spacing w:after="0" w:line="240" w:lineRule="auto"/>
        <w:ind w:left="284"/>
        <w:jc w:val="both"/>
        <w:rPr>
          <w:rFonts w:ascii="Calibri" w:eastAsia="Calibri" w:hAnsi="Calibri" w:cs="Calibri"/>
          <w:color w:val="000000"/>
          <w:sz w:val="24"/>
          <w:szCs w:val="24"/>
        </w:rPr>
      </w:pPr>
    </w:p>
    <w:bookmarkEnd w:id="5"/>
    <w:p w14:paraId="29A6679A" w14:textId="77777777" w:rsidR="004936A4" w:rsidRPr="00C13AD1" w:rsidRDefault="0002754C" w:rsidP="005550EC">
      <w:pPr>
        <w:spacing w:after="0" w:line="240" w:lineRule="auto"/>
        <w:jc w:val="both"/>
        <w:rPr>
          <w:rFonts w:asciiTheme="majorHAnsi" w:eastAsia="Calibri" w:hAnsiTheme="majorHAnsi" w:cstheme="majorBidi"/>
          <w:color w:val="3E7718" w:themeColor="accent2" w:themeShade="BF"/>
          <w:sz w:val="28"/>
          <w:szCs w:val="28"/>
        </w:rPr>
      </w:pPr>
      <w:r w:rsidRPr="00C13AD1">
        <w:rPr>
          <w:rFonts w:asciiTheme="majorHAnsi" w:eastAsia="Calibri" w:hAnsiTheme="majorHAnsi" w:cstheme="majorBidi"/>
          <w:color w:val="3E7718" w:themeColor="accent2" w:themeShade="BF"/>
          <w:sz w:val="28"/>
          <w:szCs w:val="28"/>
        </w:rPr>
        <w:t>VI.2. Les contraintes communes</w:t>
      </w:r>
    </w:p>
    <w:p w14:paraId="6FE14EF7" w14:textId="2413F72B" w:rsidR="004936A4" w:rsidRDefault="00886E7A" w:rsidP="00C13AD1">
      <w:pPr>
        <w:numPr>
          <w:ilvl w:val="0"/>
          <w:numId w:val="39"/>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Faible</w:t>
      </w:r>
      <w:r w:rsidR="0002754C">
        <w:rPr>
          <w:rFonts w:ascii="Calibri" w:eastAsia="Calibri" w:hAnsi="Calibri" w:cs="Calibri"/>
          <w:color w:val="000000"/>
          <w:sz w:val="24"/>
          <w:szCs w:val="24"/>
        </w:rPr>
        <w:t xml:space="preserve"> suivi des progrès en matière de réduction des GES au sein </w:t>
      </w:r>
      <w:r w:rsidR="009C0CFE">
        <w:rPr>
          <w:rFonts w:ascii="Calibri" w:eastAsia="Calibri" w:hAnsi="Calibri" w:cs="Calibri"/>
          <w:color w:val="000000"/>
          <w:sz w:val="24"/>
          <w:szCs w:val="24"/>
        </w:rPr>
        <w:t>de</w:t>
      </w:r>
      <w:r w:rsidR="0002754C">
        <w:rPr>
          <w:rFonts w:ascii="Calibri" w:eastAsia="Calibri" w:hAnsi="Calibri" w:cs="Calibri"/>
          <w:color w:val="000000"/>
          <w:sz w:val="24"/>
          <w:szCs w:val="24"/>
        </w:rPr>
        <w:t xml:space="preserve"> la structure en charge du suivi,</w:t>
      </w:r>
    </w:p>
    <w:p w14:paraId="319F59A2" w14:textId="77777777" w:rsidR="004936A4" w:rsidRDefault="0002754C" w:rsidP="00C13AD1">
      <w:pPr>
        <w:numPr>
          <w:ilvl w:val="0"/>
          <w:numId w:val="39"/>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Insuffisance de ressources financières pour la mise en œuvre des actions d’adaptation et d’atténuation,</w:t>
      </w:r>
    </w:p>
    <w:p w14:paraId="493E7817" w14:textId="77777777" w:rsidR="004936A4" w:rsidRDefault="0002754C" w:rsidP="00C13AD1">
      <w:pPr>
        <w:numPr>
          <w:ilvl w:val="0"/>
          <w:numId w:val="39"/>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Absence d’affectation explicite de lignes budgétaires spécifiques pour la réalisation des actions d’adaptation et d’atténuation,</w:t>
      </w:r>
    </w:p>
    <w:p w14:paraId="7C91D4D5" w14:textId="77777777" w:rsidR="004936A4" w:rsidRDefault="0002754C" w:rsidP="00C13AD1">
      <w:pPr>
        <w:numPr>
          <w:ilvl w:val="0"/>
          <w:numId w:val="39"/>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Difficultés d’accès au financement climat à l’échelle internationale,</w:t>
      </w:r>
    </w:p>
    <w:p w14:paraId="019EDE5A" w14:textId="77777777" w:rsidR="004936A4" w:rsidRDefault="0002754C" w:rsidP="00C13AD1">
      <w:pPr>
        <w:numPr>
          <w:ilvl w:val="0"/>
          <w:numId w:val="39"/>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Absence d’une planification sectorielle d’exécution de la CDN,</w:t>
      </w:r>
    </w:p>
    <w:p w14:paraId="557C7905" w14:textId="36ED4B7C" w:rsidR="00CC6B6A" w:rsidRDefault="0002754C" w:rsidP="00C13AD1">
      <w:pPr>
        <w:numPr>
          <w:ilvl w:val="0"/>
          <w:numId w:val="39"/>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Insuffisance de l’expertise pour l’élaboration de projets spécifiques d’atténuation</w:t>
      </w:r>
      <w:r w:rsidR="000470ED">
        <w:rPr>
          <w:rFonts w:ascii="Calibri" w:eastAsia="Calibri" w:hAnsi="Calibri" w:cs="Calibri"/>
          <w:color w:val="000000"/>
          <w:sz w:val="24"/>
          <w:szCs w:val="24"/>
        </w:rPr>
        <w:t>.</w:t>
      </w:r>
    </w:p>
    <w:p w14:paraId="1FBEB7F7" w14:textId="77777777" w:rsidR="00CC6B6A" w:rsidRDefault="00CC6B6A" w:rsidP="00C13AD1">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086A66E3" w14:textId="77777777" w:rsidR="004936A4" w:rsidRPr="00C13AD1" w:rsidRDefault="0002754C" w:rsidP="005B5A9E">
      <w:pPr>
        <w:spacing w:after="0" w:line="240" w:lineRule="auto"/>
        <w:jc w:val="both"/>
        <w:rPr>
          <w:rFonts w:asciiTheme="majorHAnsi" w:eastAsia="Calibri" w:hAnsiTheme="majorHAnsi" w:cstheme="majorBidi"/>
          <w:color w:val="3E7718" w:themeColor="accent2" w:themeShade="BF"/>
          <w:sz w:val="28"/>
          <w:szCs w:val="28"/>
        </w:rPr>
      </w:pPr>
      <w:r w:rsidRPr="00C13AD1">
        <w:rPr>
          <w:rFonts w:asciiTheme="majorHAnsi" w:eastAsia="Calibri" w:hAnsiTheme="majorHAnsi" w:cstheme="majorBidi"/>
          <w:color w:val="3E7718" w:themeColor="accent2" w:themeShade="BF"/>
          <w:sz w:val="28"/>
          <w:szCs w:val="28"/>
        </w:rPr>
        <w:t>VI.3. Les acquis spécifiques</w:t>
      </w:r>
    </w:p>
    <w:p w14:paraId="74F9B83A" w14:textId="77777777" w:rsidR="004936A4" w:rsidRDefault="0002754C" w:rsidP="005B5A9E">
      <w:pPr>
        <w:numPr>
          <w:ilvl w:val="0"/>
          <w:numId w:val="40"/>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sidRPr="00A22CF0">
        <w:rPr>
          <w:rFonts w:ascii="Calibri" w:eastAsia="Calibri" w:hAnsi="Calibri" w:cs="Calibri"/>
          <w:bCs/>
          <w:i/>
          <w:iCs/>
          <w:color w:val="000000"/>
          <w:sz w:val="24"/>
          <w:szCs w:val="24"/>
        </w:rPr>
        <w:t>Pour l’agriculture :</w:t>
      </w:r>
      <w:r>
        <w:rPr>
          <w:rFonts w:ascii="Calibri" w:eastAsia="Calibri" w:hAnsi="Calibri" w:cs="Calibri"/>
          <w:color w:val="000000"/>
          <w:sz w:val="24"/>
          <w:szCs w:val="24"/>
        </w:rPr>
        <w:t xml:space="preserve"> existence d’un Cadre de mesures d’atténuation appropriées au niveau national, </w:t>
      </w:r>
    </w:p>
    <w:p w14:paraId="2B1D77E4" w14:textId="06C930A6" w:rsidR="004936A4" w:rsidRDefault="0002754C" w:rsidP="005B5A9E">
      <w:pPr>
        <w:numPr>
          <w:ilvl w:val="0"/>
          <w:numId w:val="40"/>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sidRPr="00A22CF0">
        <w:rPr>
          <w:rFonts w:ascii="Calibri" w:eastAsia="Calibri" w:hAnsi="Calibri" w:cs="Calibri"/>
          <w:bCs/>
          <w:i/>
          <w:iCs/>
          <w:color w:val="000000"/>
          <w:sz w:val="24"/>
          <w:szCs w:val="24"/>
        </w:rPr>
        <w:t>Pour les productions animales :</w:t>
      </w:r>
      <w:r>
        <w:rPr>
          <w:rFonts w:ascii="Calibri" w:eastAsia="Calibri" w:hAnsi="Calibri" w:cs="Calibri"/>
          <w:color w:val="000000"/>
          <w:sz w:val="24"/>
          <w:szCs w:val="24"/>
        </w:rPr>
        <w:t xml:space="preserve"> existence d’un </w:t>
      </w:r>
      <w:r w:rsidR="00241566" w:rsidRPr="0045179B">
        <w:rPr>
          <w:rFonts w:ascii="Calibri" w:eastAsia="Calibri" w:hAnsi="Calibri" w:cs="Calibri"/>
          <w:color w:val="000000"/>
          <w:sz w:val="24"/>
          <w:szCs w:val="24"/>
        </w:rPr>
        <w:t>S</w:t>
      </w:r>
      <w:r w:rsidRPr="0045179B">
        <w:rPr>
          <w:rFonts w:ascii="Calibri" w:eastAsia="Calibri" w:hAnsi="Calibri" w:cs="Calibri"/>
          <w:color w:val="000000"/>
          <w:sz w:val="24"/>
          <w:szCs w:val="24"/>
        </w:rPr>
        <w:t xml:space="preserve">ecrétariat </w:t>
      </w:r>
      <w:r w:rsidR="00241566" w:rsidRPr="0045179B">
        <w:rPr>
          <w:rFonts w:ascii="Calibri" w:eastAsia="Calibri" w:hAnsi="Calibri" w:cs="Calibri"/>
          <w:color w:val="000000"/>
          <w:sz w:val="24"/>
          <w:szCs w:val="24"/>
        </w:rPr>
        <w:t>P</w:t>
      </w:r>
      <w:r w:rsidRPr="0045179B">
        <w:rPr>
          <w:rFonts w:ascii="Calibri" w:eastAsia="Calibri" w:hAnsi="Calibri" w:cs="Calibri"/>
          <w:color w:val="000000"/>
          <w:sz w:val="24"/>
          <w:szCs w:val="24"/>
        </w:rPr>
        <w:t xml:space="preserve">ermanent chargé de répondre à la vulnérabilité du secteur face aux aléas climatiques </w:t>
      </w:r>
      <w:r w:rsidRPr="0002754C">
        <w:rPr>
          <w:rFonts w:ascii="Calibri" w:eastAsia="Calibri" w:hAnsi="Calibri" w:cs="Calibri"/>
          <w:color w:val="000000"/>
          <w:sz w:val="24"/>
          <w:szCs w:val="24"/>
        </w:rPr>
        <w:t>(SPCVEL),</w:t>
      </w:r>
    </w:p>
    <w:p w14:paraId="248D322F" w14:textId="58AFFFC4" w:rsidR="004936A4" w:rsidRDefault="0002754C" w:rsidP="005B5A9E">
      <w:pPr>
        <w:numPr>
          <w:ilvl w:val="0"/>
          <w:numId w:val="40"/>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sidRPr="00A22CF0">
        <w:rPr>
          <w:rFonts w:ascii="Calibri" w:eastAsia="Calibri" w:hAnsi="Calibri" w:cs="Calibri"/>
          <w:bCs/>
          <w:i/>
          <w:iCs/>
          <w:color w:val="000000"/>
          <w:sz w:val="24"/>
          <w:szCs w:val="24"/>
        </w:rPr>
        <w:t>Pour l’énergie :</w:t>
      </w:r>
      <w:r>
        <w:rPr>
          <w:rFonts w:ascii="Calibri" w:eastAsia="Calibri" w:hAnsi="Calibri" w:cs="Calibri"/>
          <w:color w:val="000000"/>
          <w:sz w:val="24"/>
          <w:szCs w:val="24"/>
        </w:rPr>
        <w:t xml:space="preserve"> existence de structures </w:t>
      </w:r>
      <w:r w:rsidRPr="0045179B">
        <w:rPr>
          <w:rFonts w:ascii="Calibri" w:eastAsia="Calibri" w:hAnsi="Calibri" w:cs="Calibri"/>
          <w:color w:val="000000"/>
          <w:sz w:val="24"/>
          <w:szCs w:val="24"/>
        </w:rPr>
        <w:t>spécifiques en charge des énergies renouvelables (</w:t>
      </w:r>
      <w:r w:rsidR="0045179B" w:rsidRPr="00E4481A">
        <w:rPr>
          <w:rFonts w:ascii="Calibri" w:eastAsia="Calibri" w:hAnsi="Calibri" w:cs="Calibri"/>
          <w:color w:val="000000"/>
          <w:sz w:val="24"/>
          <w:szCs w:val="24"/>
        </w:rPr>
        <w:t>Agence Nationale des Energies Renouvelables et de l'Efficacité Energétique -</w:t>
      </w:r>
      <w:r w:rsidRPr="0045179B">
        <w:rPr>
          <w:rFonts w:ascii="Calibri" w:eastAsia="Calibri" w:hAnsi="Calibri" w:cs="Calibri"/>
          <w:color w:val="000000"/>
          <w:sz w:val="24"/>
          <w:szCs w:val="24"/>
        </w:rPr>
        <w:t xml:space="preserve">ANEREE, </w:t>
      </w:r>
      <w:r w:rsidR="0045179B" w:rsidRPr="00E4481A">
        <w:rPr>
          <w:rFonts w:ascii="Calibri" w:eastAsia="Calibri" w:hAnsi="Calibri" w:cs="Calibri"/>
          <w:color w:val="000000"/>
          <w:sz w:val="24"/>
          <w:szCs w:val="24"/>
        </w:rPr>
        <w:t>Direction Générale de l’Energie Renouvelable -</w:t>
      </w:r>
      <w:r w:rsidRPr="0045179B">
        <w:rPr>
          <w:rFonts w:ascii="Calibri" w:eastAsia="Calibri" w:hAnsi="Calibri" w:cs="Calibri"/>
          <w:color w:val="000000"/>
          <w:sz w:val="24"/>
          <w:szCs w:val="24"/>
        </w:rPr>
        <w:t>DGER) et</w:t>
      </w:r>
      <w:r>
        <w:rPr>
          <w:rFonts w:ascii="Calibri" w:eastAsia="Calibri" w:hAnsi="Calibri" w:cs="Calibri"/>
          <w:color w:val="000000"/>
          <w:sz w:val="24"/>
          <w:szCs w:val="24"/>
        </w:rPr>
        <w:t xml:space="preserve"> orientation de la formulation du 2</w:t>
      </w:r>
      <w:r>
        <w:rPr>
          <w:rFonts w:ascii="Calibri" w:eastAsia="Calibri" w:hAnsi="Calibri" w:cs="Calibri"/>
          <w:color w:val="000000"/>
          <w:sz w:val="24"/>
          <w:szCs w:val="24"/>
          <w:vertAlign w:val="superscript"/>
        </w:rPr>
        <w:t>e</w:t>
      </w:r>
      <w:r>
        <w:rPr>
          <w:rFonts w:ascii="Calibri" w:eastAsia="Calibri" w:hAnsi="Calibri" w:cs="Calibri"/>
          <w:color w:val="000000"/>
          <w:sz w:val="24"/>
          <w:szCs w:val="24"/>
        </w:rPr>
        <w:t xml:space="preserve"> compact du Millenium </w:t>
      </w:r>
      <w:r w:rsidR="00A22CF0">
        <w:rPr>
          <w:rFonts w:ascii="Calibri" w:eastAsia="Calibri" w:hAnsi="Calibri" w:cs="Calibri"/>
          <w:color w:val="000000"/>
          <w:sz w:val="24"/>
          <w:szCs w:val="24"/>
        </w:rPr>
        <w:t>C</w:t>
      </w:r>
      <w:r>
        <w:rPr>
          <w:rFonts w:ascii="Calibri" w:eastAsia="Calibri" w:hAnsi="Calibri" w:cs="Calibri"/>
          <w:color w:val="000000"/>
          <w:sz w:val="24"/>
          <w:szCs w:val="24"/>
        </w:rPr>
        <w:t xml:space="preserve">hallenge </w:t>
      </w:r>
      <w:r w:rsidR="00A22CF0">
        <w:rPr>
          <w:rFonts w:ascii="Calibri" w:eastAsia="Calibri" w:hAnsi="Calibri" w:cs="Calibri"/>
          <w:color w:val="000000"/>
          <w:sz w:val="24"/>
          <w:szCs w:val="24"/>
        </w:rPr>
        <w:t>A</w:t>
      </w:r>
      <w:r>
        <w:rPr>
          <w:rFonts w:ascii="Calibri" w:eastAsia="Calibri" w:hAnsi="Calibri" w:cs="Calibri"/>
          <w:color w:val="000000"/>
          <w:sz w:val="24"/>
          <w:szCs w:val="24"/>
        </w:rPr>
        <w:t>ccount sur le secteur de l’énergie avec un accent sur les énergies renouvelables,</w:t>
      </w:r>
    </w:p>
    <w:p w14:paraId="57CAEC12" w14:textId="77777777" w:rsidR="004936A4" w:rsidRDefault="0002754C" w:rsidP="009A5359">
      <w:pPr>
        <w:numPr>
          <w:ilvl w:val="0"/>
          <w:numId w:val="40"/>
        </w:numPr>
        <w:pBdr>
          <w:top w:val="nil"/>
          <w:left w:val="nil"/>
          <w:bottom w:val="nil"/>
          <w:right w:val="nil"/>
          <w:between w:val="nil"/>
        </w:pBdr>
        <w:spacing w:after="0" w:line="240" w:lineRule="auto"/>
        <w:ind w:left="284" w:hanging="284"/>
        <w:jc w:val="both"/>
        <w:rPr>
          <w:rFonts w:ascii="Calibri" w:eastAsia="Calibri" w:hAnsi="Calibri" w:cs="Calibri"/>
          <w:color w:val="000000"/>
          <w:sz w:val="24"/>
          <w:szCs w:val="24"/>
        </w:rPr>
      </w:pPr>
      <w:r w:rsidRPr="00A22CF0">
        <w:rPr>
          <w:rFonts w:ascii="Calibri" w:eastAsia="Calibri" w:hAnsi="Calibri" w:cs="Calibri"/>
          <w:bCs/>
          <w:i/>
          <w:iCs/>
          <w:color w:val="000000"/>
          <w:sz w:val="24"/>
          <w:szCs w:val="24"/>
        </w:rPr>
        <w:lastRenderedPageBreak/>
        <w:t>Pour les transports :</w:t>
      </w:r>
      <w:r>
        <w:rPr>
          <w:rFonts w:ascii="Calibri" w:eastAsia="Calibri" w:hAnsi="Calibri" w:cs="Calibri"/>
          <w:color w:val="000000"/>
          <w:sz w:val="24"/>
          <w:szCs w:val="24"/>
        </w:rPr>
        <w:t xml:space="preserve"> Existence d’un secrétariat permanent pour répondre à la vulnérabilité du secteur aux aléas climatiques (SPCVEL).</w:t>
      </w:r>
    </w:p>
    <w:p w14:paraId="0FEE7F67" w14:textId="77777777" w:rsidR="009A5359" w:rsidRDefault="009A5359" w:rsidP="009A5359">
      <w:pPr>
        <w:pBdr>
          <w:top w:val="nil"/>
          <w:left w:val="nil"/>
          <w:bottom w:val="nil"/>
          <w:right w:val="nil"/>
          <w:between w:val="nil"/>
        </w:pBdr>
        <w:spacing w:after="0" w:line="240" w:lineRule="auto"/>
        <w:ind w:left="284"/>
        <w:jc w:val="both"/>
        <w:rPr>
          <w:rFonts w:ascii="Calibri" w:eastAsia="Calibri" w:hAnsi="Calibri" w:cs="Calibri"/>
          <w:color w:val="000000"/>
          <w:sz w:val="24"/>
          <w:szCs w:val="24"/>
        </w:rPr>
      </w:pPr>
    </w:p>
    <w:p w14:paraId="1ECF54D2" w14:textId="77777777" w:rsidR="004936A4" w:rsidRPr="00C13AD1" w:rsidRDefault="0002754C" w:rsidP="005B5A9E">
      <w:pPr>
        <w:spacing w:after="0" w:line="240" w:lineRule="auto"/>
        <w:jc w:val="both"/>
        <w:rPr>
          <w:rFonts w:asciiTheme="majorHAnsi" w:eastAsia="Calibri" w:hAnsiTheme="majorHAnsi" w:cstheme="majorBidi"/>
          <w:color w:val="3E7718" w:themeColor="accent2" w:themeShade="BF"/>
          <w:sz w:val="28"/>
          <w:szCs w:val="28"/>
        </w:rPr>
      </w:pPr>
      <w:r w:rsidRPr="00C13AD1">
        <w:rPr>
          <w:rFonts w:asciiTheme="majorHAnsi" w:eastAsia="Calibri" w:hAnsiTheme="majorHAnsi" w:cstheme="majorBidi"/>
          <w:color w:val="3E7718" w:themeColor="accent2" w:themeShade="BF"/>
          <w:sz w:val="28"/>
          <w:szCs w:val="28"/>
        </w:rPr>
        <w:t>VI.4. Les contraintes spécifiques</w:t>
      </w:r>
    </w:p>
    <w:p w14:paraId="12F5AD72" w14:textId="77777777" w:rsidR="004936A4" w:rsidRDefault="0002754C" w:rsidP="005B5A9E">
      <w:pPr>
        <w:numPr>
          <w:ilvl w:val="0"/>
          <w:numId w:val="41"/>
        </w:numPr>
        <w:pBdr>
          <w:top w:val="nil"/>
          <w:left w:val="nil"/>
          <w:bottom w:val="nil"/>
          <w:right w:val="nil"/>
          <w:between w:val="nil"/>
        </w:pBdr>
        <w:spacing w:after="0" w:line="240" w:lineRule="auto"/>
        <w:ind w:left="142" w:hanging="142"/>
        <w:jc w:val="both"/>
        <w:rPr>
          <w:rFonts w:ascii="Calibri" w:eastAsia="Calibri" w:hAnsi="Calibri" w:cs="Calibri"/>
          <w:color w:val="000000"/>
          <w:sz w:val="24"/>
          <w:szCs w:val="24"/>
        </w:rPr>
      </w:pPr>
      <w:r w:rsidRPr="00A22CF0">
        <w:rPr>
          <w:rFonts w:ascii="Calibri" w:eastAsia="Calibri" w:hAnsi="Calibri" w:cs="Calibri"/>
          <w:bCs/>
          <w:i/>
          <w:iCs/>
          <w:color w:val="000000"/>
          <w:sz w:val="24"/>
          <w:szCs w:val="24"/>
        </w:rPr>
        <w:t>Pour l’agriculture</w:t>
      </w:r>
      <w:r>
        <w:rPr>
          <w:rFonts w:ascii="Calibri" w:eastAsia="Calibri" w:hAnsi="Calibri" w:cs="Calibri"/>
          <w:b/>
          <w:color w:val="000000"/>
          <w:sz w:val="24"/>
          <w:szCs w:val="24"/>
        </w:rPr>
        <w:t> </w:t>
      </w:r>
      <w:r>
        <w:rPr>
          <w:rFonts w:ascii="Calibri" w:eastAsia="Calibri" w:hAnsi="Calibri" w:cs="Calibri"/>
          <w:color w:val="000000"/>
          <w:sz w:val="24"/>
          <w:szCs w:val="24"/>
        </w:rPr>
        <w:t>: absence de synergie avec les autres départements ministériels pour le suivi et la capitalisation des actions et méconnaissance de la CDN et du PNA au sein du département,</w:t>
      </w:r>
    </w:p>
    <w:p w14:paraId="760BA7E2" w14:textId="77777777" w:rsidR="004936A4" w:rsidRDefault="0002754C" w:rsidP="00A22CF0">
      <w:pPr>
        <w:numPr>
          <w:ilvl w:val="0"/>
          <w:numId w:val="41"/>
        </w:numPr>
        <w:pBdr>
          <w:top w:val="nil"/>
          <w:left w:val="nil"/>
          <w:bottom w:val="nil"/>
          <w:right w:val="nil"/>
          <w:between w:val="nil"/>
        </w:pBdr>
        <w:spacing w:after="0" w:line="240" w:lineRule="auto"/>
        <w:ind w:left="142" w:hanging="142"/>
        <w:jc w:val="both"/>
        <w:rPr>
          <w:rFonts w:ascii="Calibri" w:eastAsia="Calibri" w:hAnsi="Calibri" w:cs="Calibri"/>
          <w:color w:val="000000"/>
          <w:sz w:val="24"/>
          <w:szCs w:val="24"/>
        </w:rPr>
      </w:pPr>
      <w:r w:rsidRPr="00A22CF0">
        <w:rPr>
          <w:rFonts w:ascii="Calibri" w:eastAsia="Calibri" w:hAnsi="Calibri" w:cs="Calibri"/>
          <w:bCs/>
          <w:i/>
          <w:iCs/>
          <w:color w:val="000000"/>
          <w:sz w:val="24"/>
          <w:szCs w:val="24"/>
        </w:rPr>
        <w:t>Pour l’assainissement</w:t>
      </w:r>
      <w:r>
        <w:rPr>
          <w:rFonts w:ascii="Calibri" w:eastAsia="Calibri" w:hAnsi="Calibri" w:cs="Calibri"/>
          <w:b/>
          <w:color w:val="000000"/>
          <w:sz w:val="24"/>
          <w:szCs w:val="24"/>
        </w:rPr>
        <w:t> </w:t>
      </w:r>
      <w:r>
        <w:rPr>
          <w:rFonts w:ascii="Calibri" w:eastAsia="Calibri" w:hAnsi="Calibri" w:cs="Calibri"/>
          <w:color w:val="000000"/>
          <w:sz w:val="24"/>
          <w:szCs w:val="24"/>
        </w:rPr>
        <w:t>: absence de synergie avec les autres départements ministériels pour le suivi des progrès réalisés et la capitalisation des actions en matière d’adaptation,</w:t>
      </w:r>
    </w:p>
    <w:p w14:paraId="38346F28" w14:textId="3A94EEBA" w:rsidR="004936A4" w:rsidRPr="009A5359" w:rsidRDefault="0002754C" w:rsidP="009A5359">
      <w:pPr>
        <w:pStyle w:val="ListParagraph"/>
        <w:numPr>
          <w:ilvl w:val="0"/>
          <w:numId w:val="41"/>
        </w:numPr>
        <w:spacing w:after="0" w:line="240" w:lineRule="auto"/>
        <w:ind w:left="142" w:hanging="142"/>
        <w:jc w:val="both"/>
        <w:rPr>
          <w:rFonts w:ascii="Calibri" w:eastAsia="Calibri" w:hAnsi="Calibri" w:cs="Calibri"/>
          <w:color w:val="00B050"/>
          <w:sz w:val="24"/>
          <w:szCs w:val="24"/>
        </w:rPr>
      </w:pPr>
      <w:r w:rsidRPr="00A22CF0">
        <w:rPr>
          <w:rFonts w:ascii="Calibri" w:eastAsia="Calibri" w:hAnsi="Calibri" w:cs="Calibri"/>
          <w:bCs/>
          <w:i/>
          <w:iCs/>
          <w:sz w:val="24"/>
          <w:szCs w:val="24"/>
        </w:rPr>
        <w:t>Pour l’énergie</w:t>
      </w:r>
      <w:r w:rsidRPr="00A22CF0">
        <w:rPr>
          <w:rFonts w:ascii="Calibri" w:eastAsia="Calibri" w:hAnsi="Calibri" w:cs="Calibri"/>
          <w:sz w:val="24"/>
          <w:szCs w:val="24"/>
        </w:rPr>
        <w:t> : absence d’élaboration de facteurs d’émissions spécifiques adaptés au contexte du Burkina Faso, manque de visibilité sur les installations solaires de moins de 500kWc dont le facteur d’échelle pourrait avoir un impact sur les efforts d’atténuation du B</w:t>
      </w:r>
      <w:r w:rsidR="00C8765F">
        <w:rPr>
          <w:rFonts w:ascii="Calibri" w:eastAsia="Calibri" w:hAnsi="Calibri" w:cs="Calibri"/>
          <w:sz w:val="24"/>
          <w:szCs w:val="24"/>
        </w:rPr>
        <w:t xml:space="preserve">urkina </w:t>
      </w:r>
      <w:r w:rsidRPr="00A22CF0">
        <w:rPr>
          <w:rFonts w:ascii="Calibri" w:eastAsia="Calibri" w:hAnsi="Calibri" w:cs="Calibri"/>
          <w:sz w:val="24"/>
          <w:szCs w:val="24"/>
        </w:rPr>
        <w:t>F</w:t>
      </w:r>
      <w:r w:rsidR="00C8765F">
        <w:rPr>
          <w:rFonts w:ascii="Calibri" w:eastAsia="Calibri" w:hAnsi="Calibri" w:cs="Calibri"/>
          <w:sz w:val="24"/>
          <w:szCs w:val="24"/>
        </w:rPr>
        <w:t>aso</w:t>
      </w:r>
      <w:r w:rsidRPr="00A22CF0">
        <w:rPr>
          <w:rFonts w:ascii="Calibri" w:eastAsia="Calibri" w:hAnsi="Calibri" w:cs="Calibri"/>
          <w:sz w:val="24"/>
          <w:szCs w:val="24"/>
        </w:rPr>
        <w:t xml:space="preserve"> et la non prise en compte des impacts sur la CDN2015 des efforts institutionnels et organisationnels dans la promotion des énergies renouvelables et l’économie d’énergie sur les scenarii réduction de GES</w:t>
      </w:r>
      <w:r w:rsidR="00C8765F">
        <w:rPr>
          <w:rFonts w:ascii="Calibri" w:eastAsia="Calibri" w:hAnsi="Calibri" w:cs="Calibri"/>
          <w:sz w:val="24"/>
          <w:szCs w:val="24"/>
        </w:rPr>
        <w:t>.</w:t>
      </w:r>
    </w:p>
    <w:p w14:paraId="71652681" w14:textId="77777777" w:rsidR="009A5359" w:rsidRPr="009A5359" w:rsidRDefault="009A5359" w:rsidP="009A5359">
      <w:pPr>
        <w:pStyle w:val="ListParagraph"/>
        <w:spacing w:after="0" w:line="240" w:lineRule="auto"/>
        <w:ind w:left="142"/>
        <w:jc w:val="both"/>
        <w:rPr>
          <w:rFonts w:ascii="Calibri" w:eastAsia="Calibri" w:hAnsi="Calibri" w:cs="Calibri"/>
          <w:color w:val="00B050"/>
          <w:sz w:val="24"/>
          <w:szCs w:val="24"/>
        </w:rPr>
      </w:pPr>
    </w:p>
    <w:p w14:paraId="4E99144B" w14:textId="7CA24DF8" w:rsidR="004936A4" w:rsidRPr="00C13AD1" w:rsidRDefault="0002754C" w:rsidP="005B5A9E">
      <w:pPr>
        <w:spacing w:after="0" w:line="240" w:lineRule="auto"/>
        <w:jc w:val="both"/>
        <w:rPr>
          <w:rFonts w:asciiTheme="majorHAnsi" w:eastAsia="Calibri" w:hAnsiTheme="majorHAnsi" w:cstheme="majorBidi"/>
          <w:color w:val="3E7718" w:themeColor="accent2" w:themeShade="BF"/>
          <w:sz w:val="28"/>
          <w:szCs w:val="28"/>
        </w:rPr>
      </w:pPr>
      <w:r w:rsidRPr="00C13AD1">
        <w:rPr>
          <w:rFonts w:asciiTheme="majorHAnsi" w:eastAsia="Calibri" w:hAnsiTheme="majorHAnsi" w:cstheme="majorBidi"/>
          <w:color w:val="3E7718" w:themeColor="accent2" w:themeShade="BF"/>
          <w:sz w:val="28"/>
          <w:szCs w:val="28"/>
        </w:rPr>
        <w:t>VI.5. Leçons apprises et points d’attention pour la révision des objectifs de la CDN</w:t>
      </w:r>
    </w:p>
    <w:p w14:paraId="61AC5504" w14:textId="77777777" w:rsidR="004936A4" w:rsidRDefault="0002754C" w:rsidP="005B5A9E">
      <w:pPr>
        <w:spacing w:after="0" w:line="240" w:lineRule="auto"/>
        <w:jc w:val="both"/>
        <w:rPr>
          <w:rFonts w:ascii="Calibri" w:eastAsia="Calibri" w:hAnsi="Calibri" w:cs="Calibri"/>
          <w:sz w:val="24"/>
          <w:szCs w:val="24"/>
        </w:rPr>
      </w:pPr>
      <w:r>
        <w:rPr>
          <w:rFonts w:ascii="Calibri" w:eastAsia="Calibri" w:hAnsi="Calibri" w:cs="Calibri"/>
          <w:sz w:val="24"/>
          <w:szCs w:val="24"/>
        </w:rPr>
        <w:t>Les principales leçons que l’on peut tirer sont :</w:t>
      </w:r>
    </w:p>
    <w:p w14:paraId="2B465724" w14:textId="77777777" w:rsidR="004936A4" w:rsidRDefault="0002754C" w:rsidP="005B5A9E">
      <w:pPr>
        <w:numPr>
          <w:ilvl w:val="0"/>
          <w:numId w:val="43"/>
        </w:numPr>
        <w:pBdr>
          <w:top w:val="nil"/>
          <w:left w:val="nil"/>
          <w:bottom w:val="nil"/>
          <w:right w:val="nil"/>
          <w:between w:val="nil"/>
        </w:pBdr>
        <w:spacing w:after="0" w:line="240" w:lineRule="auto"/>
        <w:ind w:left="142" w:hanging="142"/>
        <w:jc w:val="both"/>
        <w:rPr>
          <w:rFonts w:ascii="Calibri" w:eastAsia="Calibri" w:hAnsi="Calibri" w:cs="Calibri"/>
          <w:color w:val="000000"/>
          <w:sz w:val="24"/>
          <w:szCs w:val="24"/>
        </w:rPr>
      </w:pPr>
      <w:r>
        <w:rPr>
          <w:rFonts w:ascii="Calibri" w:eastAsia="Calibri" w:hAnsi="Calibri" w:cs="Calibri"/>
          <w:color w:val="000000"/>
          <w:sz w:val="24"/>
          <w:szCs w:val="24"/>
        </w:rPr>
        <w:t>Le suivi-évaluation de la CDN n’a pas été effectif sinon les données sur les projets contribuant à la CDN auraient été centralisées au sein d’une cellule. Ce qui aurait facilité leur disponibilisation et permis une meilleure visibilité de la CDN,</w:t>
      </w:r>
    </w:p>
    <w:p w14:paraId="4489CE01" w14:textId="2A96342E" w:rsidR="004936A4" w:rsidRDefault="0002754C" w:rsidP="005B5A9E">
      <w:pPr>
        <w:numPr>
          <w:ilvl w:val="0"/>
          <w:numId w:val="43"/>
        </w:numPr>
        <w:pBdr>
          <w:top w:val="nil"/>
          <w:left w:val="nil"/>
          <w:bottom w:val="nil"/>
          <w:right w:val="nil"/>
          <w:between w:val="nil"/>
        </w:pBdr>
        <w:spacing w:after="0" w:line="240" w:lineRule="auto"/>
        <w:ind w:left="142" w:hanging="142"/>
        <w:jc w:val="both"/>
        <w:rPr>
          <w:rFonts w:ascii="Calibri" w:eastAsia="Calibri" w:hAnsi="Calibri" w:cs="Calibri"/>
          <w:color w:val="000000"/>
          <w:sz w:val="24"/>
          <w:szCs w:val="24"/>
        </w:rPr>
      </w:pPr>
      <w:r>
        <w:rPr>
          <w:rFonts w:ascii="Calibri" w:eastAsia="Calibri" w:hAnsi="Calibri" w:cs="Calibri"/>
          <w:color w:val="000000"/>
          <w:sz w:val="24"/>
          <w:szCs w:val="24"/>
        </w:rPr>
        <w:t xml:space="preserve">Les données sur la prise en compte du genre sont très peu présentes dans la documentation relative aux projets et programmes contribuant à la CDN. Même si les données sur les bénéficiaires existent, elles ne sont pas </w:t>
      </w:r>
      <w:r w:rsidR="00CC6B6A">
        <w:rPr>
          <w:rFonts w:ascii="Calibri" w:eastAsia="Calibri" w:hAnsi="Calibri" w:cs="Calibri"/>
          <w:color w:val="000000"/>
          <w:sz w:val="24"/>
          <w:szCs w:val="24"/>
        </w:rPr>
        <w:t>désagrégées</w:t>
      </w:r>
      <w:r>
        <w:rPr>
          <w:rFonts w:ascii="Calibri" w:eastAsia="Calibri" w:hAnsi="Calibri" w:cs="Calibri"/>
          <w:color w:val="000000"/>
          <w:sz w:val="24"/>
          <w:szCs w:val="24"/>
        </w:rPr>
        <w:t xml:space="preserve">. Cela ne permet pas de juger de la prise en compte du genre dans l’exécution des projets et programmes, </w:t>
      </w:r>
    </w:p>
    <w:p w14:paraId="75B0D29A" w14:textId="77777777" w:rsidR="004936A4" w:rsidRDefault="0002754C" w:rsidP="005B5A9E">
      <w:pPr>
        <w:numPr>
          <w:ilvl w:val="0"/>
          <w:numId w:val="43"/>
        </w:numPr>
        <w:pBdr>
          <w:top w:val="nil"/>
          <w:left w:val="nil"/>
          <w:bottom w:val="nil"/>
          <w:right w:val="nil"/>
          <w:between w:val="nil"/>
        </w:pBdr>
        <w:spacing w:after="0" w:line="240" w:lineRule="auto"/>
        <w:ind w:left="142" w:hanging="142"/>
        <w:jc w:val="both"/>
        <w:rPr>
          <w:rFonts w:ascii="Calibri" w:eastAsia="Calibri" w:hAnsi="Calibri" w:cs="Calibri"/>
          <w:color w:val="000000"/>
          <w:sz w:val="24"/>
          <w:szCs w:val="24"/>
        </w:rPr>
      </w:pPr>
      <w:r>
        <w:rPr>
          <w:rFonts w:ascii="Calibri" w:eastAsia="Calibri" w:hAnsi="Calibri" w:cs="Calibri"/>
          <w:color w:val="000000"/>
          <w:sz w:val="24"/>
          <w:szCs w:val="24"/>
        </w:rPr>
        <w:t xml:space="preserve">La faible diffusion ou communication sur la CDN auprès de certaines structures d’exécution des projets et programmes qui ignorent leur implication dans la réduction des GES, </w:t>
      </w:r>
    </w:p>
    <w:p w14:paraId="1B8C60C6" w14:textId="77777777" w:rsidR="004936A4" w:rsidRDefault="0002754C" w:rsidP="005B5A9E">
      <w:pPr>
        <w:numPr>
          <w:ilvl w:val="0"/>
          <w:numId w:val="43"/>
        </w:numPr>
        <w:pBdr>
          <w:top w:val="nil"/>
          <w:left w:val="nil"/>
          <w:bottom w:val="nil"/>
          <w:right w:val="nil"/>
          <w:between w:val="nil"/>
        </w:pBdr>
        <w:spacing w:after="0" w:line="240" w:lineRule="auto"/>
        <w:ind w:left="142" w:hanging="142"/>
        <w:jc w:val="both"/>
        <w:rPr>
          <w:rFonts w:ascii="Calibri" w:eastAsia="Calibri" w:hAnsi="Calibri" w:cs="Calibri"/>
          <w:color w:val="000000"/>
          <w:sz w:val="24"/>
          <w:szCs w:val="24"/>
        </w:rPr>
      </w:pPr>
      <w:r>
        <w:rPr>
          <w:rFonts w:ascii="Calibri" w:eastAsia="Calibri" w:hAnsi="Calibri" w:cs="Calibri"/>
          <w:color w:val="000000"/>
          <w:sz w:val="24"/>
          <w:szCs w:val="24"/>
        </w:rPr>
        <w:t>Certains projets ont intégré la contribution de leurs actions à la réduction des GES (PIF, projet Neer Tamba, etc.). Cette approche devrait être capitalisée comme bonne pratique et recommandée pour l’ensemble des projets et programmes de la CDN,</w:t>
      </w:r>
    </w:p>
    <w:p w14:paraId="73694519" w14:textId="77777777" w:rsidR="004936A4" w:rsidRDefault="0002754C" w:rsidP="005B5A9E">
      <w:pPr>
        <w:numPr>
          <w:ilvl w:val="0"/>
          <w:numId w:val="43"/>
        </w:numPr>
        <w:pBdr>
          <w:top w:val="nil"/>
          <w:left w:val="nil"/>
          <w:bottom w:val="nil"/>
          <w:right w:val="nil"/>
          <w:between w:val="nil"/>
        </w:pBdr>
        <w:spacing w:after="0" w:line="240" w:lineRule="auto"/>
        <w:ind w:left="142" w:hanging="142"/>
        <w:jc w:val="both"/>
        <w:rPr>
          <w:rFonts w:ascii="Calibri" w:eastAsia="Calibri" w:hAnsi="Calibri" w:cs="Calibri"/>
          <w:color w:val="000000"/>
          <w:sz w:val="24"/>
          <w:szCs w:val="24"/>
        </w:rPr>
      </w:pPr>
      <w:r>
        <w:rPr>
          <w:rFonts w:ascii="Calibri" w:eastAsia="Calibri" w:hAnsi="Calibri" w:cs="Calibri"/>
          <w:color w:val="000000"/>
          <w:sz w:val="24"/>
          <w:szCs w:val="24"/>
        </w:rPr>
        <w:t>Satisfaction de la majorité des bénéficiaires de l’exécution des projets notamment ceux d’adaptation qui ont contribué à améliorer la production agricole et le cadre de vie des ménages en milieu rural,</w:t>
      </w:r>
    </w:p>
    <w:p w14:paraId="288CC0A0" w14:textId="77777777" w:rsidR="004936A4" w:rsidRDefault="0002754C" w:rsidP="005B5A9E">
      <w:pPr>
        <w:numPr>
          <w:ilvl w:val="0"/>
          <w:numId w:val="43"/>
        </w:numPr>
        <w:pBdr>
          <w:top w:val="nil"/>
          <w:left w:val="nil"/>
          <w:bottom w:val="nil"/>
          <w:right w:val="nil"/>
          <w:between w:val="nil"/>
        </w:pBdr>
        <w:spacing w:after="0" w:line="240" w:lineRule="auto"/>
        <w:ind w:left="142" w:hanging="142"/>
        <w:jc w:val="both"/>
        <w:rPr>
          <w:rFonts w:ascii="Calibri" w:eastAsia="Calibri" w:hAnsi="Calibri" w:cs="Calibri"/>
          <w:color w:val="000000"/>
          <w:sz w:val="24"/>
          <w:szCs w:val="24"/>
        </w:rPr>
      </w:pPr>
      <w:r>
        <w:rPr>
          <w:rFonts w:ascii="Calibri" w:eastAsia="Calibri" w:hAnsi="Calibri" w:cs="Calibri"/>
          <w:color w:val="000000"/>
          <w:sz w:val="24"/>
          <w:szCs w:val="24"/>
        </w:rPr>
        <w:t>Associer changement de comportement et modernisation du matériel et des équipements, le tout fondé sur un cadre juridique et institutionnel adapté pour permettre d’améliorer l’efficacité de l’infrastructure routière et du matérielle roulant, de favoriser la transition vers les modes de transport les moins polluants et d’assurer une meilleure inclusivité,</w:t>
      </w:r>
    </w:p>
    <w:p w14:paraId="3AC68D5F" w14:textId="77777777" w:rsidR="004936A4" w:rsidRDefault="0002754C" w:rsidP="005B5A9E">
      <w:pPr>
        <w:numPr>
          <w:ilvl w:val="0"/>
          <w:numId w:val="43"/>
        </w:numPr>
        <w:pBdr>
          <w:top w:val="nil"/>
          <w:left w:val="nil"/>
          <w:bottom w:val="nil"/>
          <w:right w:val="nil"/>
          <w:between w:val="nil"/>
        </w:pBdr>
        <w:spacing w:after="0" w:line="240" w:lineRule="auto"/>
        <w:ind w:left="142" w:hanging="142"/>
        <w:jc w:val="both"/>
        <w:rPr>
          <w:rFonts w:ascii="Calibri" w:eastAsia="Calibri" w:hAnsi="Calibri" w:cs="Calibri"/>
          <w:color w:val="000000"/>
          <w:sz w:val="24"/>
          <w:szCs w:val="24"/>
        </w:rPr>
      </w:pPr>
      <w:r>
        <w:rPr>
          <w:rFonts w:ascii="Calibri" w:eastAsia="Calibri" w:hAnsi="Calibri" w:cs="Calibri"/>
          <w:color w:val="000000"/>
          <w:sz w:val="24"/>
          <w:szCs w:val="24"/>
        </w:rPr>
        <w:t>La plupart des promoteurs immobiliers ne respectent pas leurs engagements relatifs aux questions environnementales et vis-à-vis des populations qui deviennent plus vulnérables,</w:t>
      </w:r>
    </w:p>
    <w:p w14:paraId="6E2A47C8" w14:textId="77777777" w:rsidR="004936A4" w:rsidRDefault="0002754C" w:rsidP="005B5A9E">
      <w:pPr>
        <w:numPr>
          <w:ilvl w:val="0"/>
          <w:numId w:val="43"/>
        </w:numPr>
        <w:pBdr>
          <w:top w:val="nil"/>
          <w:left w:val="nil"/>
          <w:bottom w:val="nil"/>
          <w:right w:val="nil"/>
          <w:between w:val="nil"/>
        </w:pBdr>
        <w:spacing w:line="240" w:lineRule="auto"/>
        <w:ind w:left="142" w:hanging="142"/>
        <w:jc w:val="both"/>
        <w:rPr>
          <w:rFonts w:ascii="Calibri" w:eastAsia="Calibri" w:hAnsi="Calibri" w:cs="Calibri"/>
          <w:color w:val="000000"/>
          <w:sz w:val="24"/>
          <w:szCs w:val="24"/>
        </w:rPr>
      </w:pPr>
      <w:r>
        <w:rPr>
          <w:rFonts w:ascii="Calibri" w:eastAsia="Calibri" w:hAnsi="Calibri" w:cs="Calibri"/>
          <w:color w:val="000000"/>
          <w:sz w:val="24"/>
          <w:szCs w:val="24"/>
        </w:rPr>
        <w:t xml:space="preserve">La prochaine CDN devrait prêter attention aux reproches des élus locaux à l’encontre des réseaux de télécommunication qui installent leurs pylônes dans des communes en payant juste la taxe d’occupation de site sans considérer leur impact néfaste sur la santé des populations. </w:t>
      </w:r>
    </w:p>
    <w:p w14:paraId="060085A9" w14:textId="58949F8D" w:rsidR="004936A4" w:rsidRPr="00B76F3F" w:rsidRDefault="0002754C" w:rsidP="00781DD2">
      <w:pPr>
        <w:pStyle w:val="Heading1"/>
        <w:rPr>
          <w:rFonts w:eastAsia="Calibri"/>
          <w:b/>
          <w:bCs/>
          <w:color w:val="54A021" w:themeColor="accent2"/>
        </w:rPr>
      </w:pPr>
      <w:r w:rsidRPr="00B76F3F">
        <w:rPr>
          <w:rFonts w:eastAsia="Calibri"/>
          <w:b/>
          <w:bCs/>
          <w:color w:val="54A021" w:themeColor="accent2"/>
        </w:rPr>
        <w:t>CONCLUSION ET RECOMMANDATION</w:t>
      </w:r>
      <w:r w:rsidR="00781DD2" w:rsidRPr="00B76F3F">
        <w:rPr>
          <w:rFonts w:eastAsia="Calibri"/>
          <w:b/>
          <w:bCs/>
          <w:color w:val="54A021" w:themeColor="accent2"/>
        </w:rPr>
        <w:t>S</w:t>
      </w:r>
    </w:p>
    <w:p w14:paraId="5D1453BF" w14:textId="04F444CE" w:rsidR="004936A4" w:rsidRDefault="00D36CBC">
      <w:pPr>
        <w:spacing w:line="240" w:lineRule="auto"/>
        <w:jc w:val="both"/>
        <w:rPr>
          <w:rFonts w:ascii="Calibri" w:eastAsia="Calibri" w:hAnsi="Calibri" w:cs="Calibri"/>
          <w:sz w:val="24"/>
          <w:szCs w:val="24"/>
        </w:rPr>
      </w:pPr>
      <w:r>
        <w:rPr>
          <w:rFonts w:ascii="Calibri" w:eastAsia="Calibri" w:hAnsi="Calibri" w:cs="Calibri"/>
          <w:sz w:val="24"/>
          <w:szCs w:val="24"/>
        </w:rPr>
        <w:br/>
        <w:t>Au terme de cette évaluation, la pertinence de tous les projets exécutés est évidente car ils s’inscrivent dans les référentiels de développement national (</w:t>
      </w:r>
      <w:r w:rsidR="008B4613">
        <w:rPr>
          <w:rFonts w:ascii="Calibri" w:eastAsia="Calibri" w:hAnsi="Calibri" w:cs="Calibri"/>
          <w:sz w:val="24"/>
          <w:szCs w:val="24"/>
        </w:rPr>
        <w:t>UGP</w:t>
      </w:r>
      <w:r>
        <w:rPr>
          <w:rFonts w:ascii="Calibri" w:eastAsia="Calibri" w:hAnsi="Calibri" w:cs="Calibri"/>
          <w:sz w:val="24"/>
          <w:szCs w:val="24"/>
        </w:rPr>
        <w:t>, PNDES) et constituent des réponses aux préoccupations et contraintes des bénéficiaires.</w:t>
      </w:r>
    </w:p>
    <w:p w14:paraId="6FDDBECB" w14:textId="38297FE8" w:rsidR="004936A4" w:rsidRDefault="0002754C">
      <w:pPr>
        <w:spacing w:line="240" w:lineRule="auto"/>
        <w:jc w:val="both"/>
        <w:rPr>
          <w:rFonts w:ascii="Calibri" w:eastAsia="Calibri" w:hAnsi="Calibri" w:cs="Calibri"/>
          <w:sz w:val="24"/>
          <w:szCs w:val="24"/>
        </w:rPr>
      </w:pPr>
      <w:r>
        <w:rPr>
          <w:rFonts w:ascii="Calibri" w:eastAsia="Calibri" w:hAnsi="Calibri" w:cs="Calibri"/>
          <w:sz w:val="24"/>
          <w:szCs w:val="24"/>
        </w:rPr>
        <w:lastRenderedPageBreak/>
        <w:t xml:space="preserve">L’efficacité d’exécution est jugée peu à moyennement perceptible et varie beaucoup entre les projets, même à l’intérieur d’un même domaine pour plusieurs raisons que sont, essentiellement, le retard de décaissement financier et de l’installation des </w:t>
      </w:r>
      <w:r w:rsidR="008B4613" w:rsidRPr="000B0AC8">
        <w:rPr>
          <w:rFonts w:ascii="Calibri" w:eastAsia="Calibri" w:hAnsi="Calibri" w:cs="Calibri"/>
          <w:sz w:val="24"/>
          <w:szCs w:val="24"/>
        </w:rPr>
        <w:t>U</w:t>
      </w:r>
      <w:r w:rsidR="008B4613">
        <w:rPr>
          <w:rFonts w:ascii="Calibri" w:eastAsia="Calibri" w:hAnsi="Calibri" w:cs="Calibri"/>
          <w:sz w:val="24"/>
          <w:szCs w:val="24"/>
        </w:rPr>
        <w:t xml:space="preserve">nités de </w:t>
      </w:r>
      <w:r w:rsidR="008B4613" w:rsidRPr="000B0AC8">
        <w:rPr>
          <w:rFonts w:ascii="Calibri" w:eastAsia="Calibri" w:hAnsi="Calibri" w:cs="Calibri"/>
          <w:sz w:val="24"/>
          <w:szCs w:val="24"/>
        </w:rPr>
        <w:t>G</w:t>
      </w:r>
      <w:r w:rsidR="008B4613">
        <w:rPr>
          <w:rFonts w:ascii="Calibri" w:eastAsia="Calibri" w:hAnsi="Calibri" w:cs="Calibri"/>
          <w:sz w:val="24"/>
          <w:szCs w:val="24"/>
        </w:rPr>
        <w:t xml:space="preserve">estion de </w:t>
      </w:r>
      <w:r w:rsidR="008B4613" w:rsidRPr="000B0AC8">
        <w:rPr>
          <w:rFonts w:ascii="Calibri" w:eastAsia="Calibri" w:hAnsi="Calibri" w:cs="Calibri"/>
          <w:sz w:val="24"/>
          <w:szCs w:val="24"/>
        </w:rPr>
        <w:t>P</w:t>
      </w:r>
      <w:r w:rsidR="008B4613">
        <w:rPr>
          <w:rFonts w:ascii="Calibri" w:eastAsia="Calibri" w:hAnsi="Calibri" w:cs="Calibri"/>
          <w:sz w:val="24"/>
          <w:szCs w:val="24"/>
        </w:rPr>
        <w:t>rojet (UGP)</w:t>
      </w:r>
      <w:r>
        <w:rPr>
          <w:rFonts w:ascii="Calibri" w:eastAsia="Calibri" w:hAnsi="Calibri" w:cs="Calibri"/>
          <w:sz w:val="24"/>
          <w:szCs w:val="24"/>
        </w:rPr>
        <w:t>, la réduction des budgets initiaux, la lourdeur administrative, la défaillance des entreprises, la faible appropriation des actions des projets par les bénéficiaires.</w:t>
      </w:r>
    </w:p>
    <w:p w14:paraId="54B1D197" w14:textId="4DCCAC18" w:rsidR="00CC6B6A" w:rsidRDefault="0002754C">
      <w:pPr>
        <w:spacing w:line="240" w:lineRule="auto"/>
        <w:jc w:val="both"/>
        <w:rPr>
          <w:rFonts w:ascii="Calibri" w:eastAsia="Calibri" w:hAnsi="Calibri" w:cs="Calibri"/>
          <w:sz w:val="24"/>
          <w:szCs w:val="24"/>
        </w:rPr>
      </w:pPr>
      <w:r>
        <w:rPr>
          <w:rFonts w:ascii="Calibri" w:eastAsia="Calibri" w:hAnsi="Calibri" w:cs="Calibri"/>
          <w:sz w:val="24"/>
          <w:szCs w:val="24"/>
        </w:rPr>
        <w:t>Les projets exécutés ont eu des impacts positifs importants sur la résilience des populations</w:t>
      </w:r>
      <w:r w:rsidR="00781DD2">
        <w:rPr>
          <w:rFonts w:ascii="Calibri" w:eastAsia="Calibri" w:hAnsi="Calibri" w:cs="Calibri"/>
          <w:sz w:val="24"/>
          <w:szCs w:val="24"/>
        </w:rPr>
        <w:t xml:space="preserve"> (</w:t>
      </w:r>
      <w:r>
        <w:rPr>
          <w:rFonts w:ascii="Calibri" w:eastAsia="Calibri" w:hAnsi="Calibri" w:cs="Calibri"/>
          <w:sz w:val="24"/>
          <w:szCs w:val="24"/>
        </w:rPr>
        <w:t xml:space="preserve">potentiel de production, des revenus, </w:t>
      </w:r>
      <w:r w:rsidR="00781DD2">
        <w:rPr>
          <w:rFonts w:ascii="Calibri" w:eastAsia="Calibri" w:hAnsi="Calibri" w:cs="Calibri"/>
          <w:sz w:val="24"/>
          <w:szCs w:val="24"/>
        </w:rPr>
        <w:t xml:space="preserve">et </w:t>
      </w:r>
      <w:r>
        <w:rPr>
          <w:rFonts w:ascii="Calibri" w:eastAsia="Calibri" w:hAnsi="Calibri" w:cs="Calibri"/>
          <w:sz w:val="24"/>
          <w:szCs w:val="24"/>
        </w:rPr>
        <w:t xml:space="preserve">adaptation au </w:t>
      </w:r>
      <w:r w:rsidR="000E5A90">
        <w:rPr>
          <w:rFonts w:ascii="Calibri" w:eastAsia="Calibri" w:hAnsi="Calibri" w:cs="Calibri"/>
          <w:sz w:val="24"/>
          <w:szCs w:val="24"/>
        </w:rPr>
        <w:t>changement climatique</w:t>
      </w:r>
      <w:r w:rsidR="00781DD2">
        <w:rPr>
          <w:rFonts w:ascii="Calibri" w:eastAsia="Calibri" w:hAnsi="Calibri" w:cs="Calibri"/>
          <w:sz w:val="24"/>
          <w:szCs w:val="24"/>
        </w:rPr>
        <w:t>)</w:t>
      </w:r>
      <w:r>
        <w:rPr>
          <w:rFonts w:ascii="Calibri" w:eastAsia="Calibri" w:hAnsi="Calibri" w:cs="Calibri"/>
          <w:sz w:val="24"/>
          <w:szCs w:val="24"/>
        </w:rPr>
        <w:t xml:space="preserve">. </w:t>
      </w:r>
      <w:r w:rsidR="00CC6B6A">
        <w:rPr>
          <w:rFonts w:ascii="Calibri" w:eastAsia="Calibri" w:hAnsi="Calibri" w:cs="Calibri"/>
          <w:sz w:val="24"/>
          <w:szCs w:val="24"/>
        </w:rPr>
        <w:t>En considérant les acquis de certains projets, les femmes ont été bénéficiaires à des niveaux divers selon le type de produits et technologie diffusés.</w:t>
      </w:r>
      <w:r w:rsidR="00CC6B6A" w:rsidRPr="00AD25A2">
        <w:rPr>
          <w:rFonts w:ascii="Calibri" w:eastAsia="Calibri" w:hAnsi="Calibri" w:cs="Calibri"/>
          <w:sz w:val="24"/>
          <w:szCs w:val="24"/>
        </w:rPr>
        <w:t xml:space="preserve"> </w:t>
      </w:r>
      <w:r w:rsidR="00CC6B6A">
        <w:rPr>
          <w:rFonts w:ascii="Calibri" w:eastAsia="Calibri" w:hAnsi="Calibri" w:cs="Calibri"/>
          <w:sz w:val="24"/>
          <w:szCs w:val="24"/>
        </w:rPr>
        <w:t>Mais La question du genre reste peu abordée et peu documentée dans les résultats des projets.</w:t>
      </w:r>
    </w:p>
    <w:p w14:paraId="37A0EFF4" w14:textId="3E8A24C8" w:rsidR="004936A4" w:rsidRDefault="0002754C">
      <w:pPr>
        <w:spacing w:line="240" w:lineRule="auto"/>
        <w:jc w:val="both"/>
        <w:rPr>
          <w:rFonts w:ascii="Calibri" w:eastAsia="Calibri" w:hAnsi="Calibri" w:cs="Calibri"/>
          <w:sz w:val="24"/>
          <w:szCs w:val="24"/>
        </w:rPr>
      </w:pPr>
      <w:r>
        <w:rPr>
          <w:rFonts w:ascii="Calibri" w:eastAsia="Calibri" w:hAnsi="Calibri" w:cs="Calibri"/>
          <w:sz w:val="24"/>
          <w:szCs w:val="24"/>
        </w:rPr>
        <w:t>Les structures d’exécution des projets étant des structures étatiques pérennes, le fait que ces projets correspondent à des réponses aux contraintes des bénéficiaires et l’appropriation des acquis par les populations constituent des preuves de durabilité.</w:t>
      </w:r>
    </w:p>
    <w:p w14:paraId="34223F34" w14:textId="3FF2F90C" w:rsidR="004936A4" w:rsidRDefault="0002754C">
      <w:pPr>
        <w:spacing w:line="240" w:lineRule="auto"/>
        <w:jc w:val="both"/>
        <w:rPr>
          <w:rFonts w:ascii="Calibri" w:eastAsia="Calibri" w:hAnsi="Calibri" w:cs="Calibri"/>
          <w:sz w:val="24"/>
          <w:szCs w:val="24"/>
        </w:rPr>
      </w:pPr>
      <w:r>
        <w:rPr>
          <w:rFonts w:ascii="Calibri" w:eastAsia="Calibri" w:hAnsi="Calibri" w:cs="Calibri"/>
          <w:sz w:val="24"/>
          <w:szCs w:val="24"/>
        </w:rPr>
        <w:t xml:space="preserve">Les résultats montrent clairement que les projets réalisés ont contribué à réduire significativement les émissions de GES mais le niveau de contribution n’a pas été suffisant pour permettre d’atteindre 5,58% </w:t>
      </w:r>
      <w:r w:rsidR="00781DD2">
        <w:rPr>
          <w:rFonts w:ascii="Calibri" w:eastAsia="Calibri" w:hAnsi="Calibri" w:cs="Calibri"/>
          <w:sz w:val="24"/>
          <w:szCs w:val="24"/>
        </w:rPr>
        <w:t xml:space="preserve">de réduction </w:t>
      </w:r>
      <w:r>
        <w:rPr>
          <w:rFonts w:ascii="Calibri" w:eastAsia="Calibri" w:hAnsi="Calibri" w:cs="Calibri"/>
          <w:sz w:val="24"/>
          <w:szCs w:val="24"/>
        </w:rPr>
        <w:t xml:space="preserve">en 2020 dans le scénario inconditionnel et 11, 9% </w:t>
      </w:r>
      <w:r w:rsidR="00781DD2">
        <w:rPr>
          <w:rFonts w:ascii="Calibri" w:eastAsia="Calibri" w:hAnsi="Calibri" w:cs="Calibri"/>
          <w:sz w:val="24"/>
          <w:szCs w:val="24"/>
        </w:rPr>
        <w:t xml:space="preserve">de réduction </w:t>
      </w:r>
      <w:r>
        <w:rPr>
          <w:rFonts w:ascii="Calibri" w:eastAsia="Calibri" w:hAnsi="Calibri" w:cs="Calibri"/>
          <w:sz w:val="24"/>
          <w:szCs w:val="24"/>
        </w:rPr>
        <w:t>dans le scénario conditionnel. La non mise en œuvre de plusieurs projets prévus expliquerait cette situation. C’est dans le scénario adaptation que des efforts importants ont été faits car les résultats se rapproche</w:t>
      </w:r>
      <w:r w:rsidR="00CC6B6A">
        <w:rPr>
          <w:rFonts w:ascii="Calibri" w:eastAsia="Calibri" w:hAnsi="Calibri" w:cs="Calibri"/>
          <w:sz w:val="24"/>
          <w:szCs w:val="24"/>
        </w:rPr>
        <w:t>nt</w:t>
      </w:r>
      <w:r>
        <w:rPr>
          <w:rFonts w:ascii="Calibri" w:eastAsia="Calibri" w:hAnsi="Calibri" w:cs="Calibri"/>
          <w:sz w:val="24"/>
          <w:szCs w:val="24"/>
        </w:rPr>
        <w:t xml:space="preserve"> de la cible de 2030. </w:t>
      </w:r>
    </w:p>
    <w:p w14:paraId="20DF8662" w14:textId="77777777" w:rsidR="004936A4" w:rsidRDefault="0002754C">
      <w:pPr>
        <w:spacing w:line="240" w:lineRule="auto"/>
        <w:jc w:val="both"/>
        <w:rPr>
          <w:rFonts w:ascii="Calibri" w:eastAsia="Calibri" w:hAnsi="Calibri" w:cs="Calibri"/>
          <w:sz w:val="24"/>
          <w:szCs w:val="24"/>
        </w:rPr>
      </w:pPr>
      <w:r>
        <w:rPr>
          <w:rFonts w:ascii="Calibri" w:eastAsia="Calibri" w:hAnsi="Calibri" w:cs="Calibri"/>
          <w:sz w:val="24"/>
          <w:szCs w:val="24"/>
        </w:rPr>
        <w:t>La prochaine CDN devrait affiner la réflexion sur la nature des données à collecter en matière de quantification du carbone et les méthodes de collecte. Le manque de données n’ayant pas permis d’évaluer cet aspect.</w:t>
      </w:r>
    </w:p>
    <w:p w14:paraId="3A3324EF" w14:textId="5FE7CA7E" w:rsidR="004936A4" w:rsidRDefault="0002754C">
      <w:pPr>
        <w:spacing w:line="240" w:lineRule="auto"/>
        <w:jc w:val="both"/>
        <w:rPr>
          <w:rFonts w:ascii="Calibri" w:eastAsia="Calibri" w:hAnsi="Calibri" w:cs="Calibri"/>
          <w:sz w:val="24"/>
          <w:szCs w:val="24"/>
        </w:rPr>
      </w:pPr>
      <w:r>
        <w:rPr>
          <w:rFonts w:ascii="Calibri" w:eastAsia="Calibri" w:hAnsi="Calibri" w:cs="Calibri"/>
          <w:sz w:val="24"/>
          <w:szCs w:val="24"/>
        </w:rPr>
        <w:t>Par ailleurs, le non-fonctionnement du dispositif de suivi de la CDN, la non-systématisation de la détermination des quantités de carbone séquestrée</w:t>
      </w:r>
      <w:r w:rsidR="001A4561">
        <w:rPr>
          <w:rFonts w:ascii="Calibri" w:eastAsia="Calibri" w:hAnsi="Calibri" w:cs="Calibri"/>
          <w:sz w:val="24"/>
          <w:szCs w:val="24"/>
        </w:rPr>
        <w:t>s</w:t>
      </w:r>
      <w:r>
        <w:rPr>
          <w:rFonts w:ascii="Calibri" w:eastAsia="Calibri" w:hAnsi="Calibri" w:cs="Calibri"/>
          <w:sz w:val="24"/>
          <w:szCs w:val="24"/>
        </w:rPr>
        <w:t xml:space="preserve"> dans les projets, la méconnaissance de la CDN même p</w:t>
      </w:r>
      <w:r w:rsidR="00781DD2">
        <w:rPr>
          <w:rFonts w:ascii="Calibri" w:eastAsia="Calibri" w:hAnsi="Calibri" w:cs="Calibri"/>
          <w:sz w:val="24"/>
          <w:szCs w:val="24"/>
        </w:rPr>
        <w:t>a</w:t>
      </w:r>
      <w:r>
        <w:rPr>
          <w:rFonts w:ascii="Calibri" w:eastAsia="Calibri" w:hAnsi="Calibri" w:cs="Calibri"/>
          <w:sz w:val="24"/>
          <w:szCs w:val="24"/>
        </w:rPr>
        <w:t xml:space="preserve">r le personnel des </w:t>
      </w:r>
      <w:r w:rsidRPr="00A3642F">
        <w:rPr>
          <w:rFonts w:ascii="Calibri" w:eastAsia="Calibri" w:hAnsi="Calibri" w:cs="Calibri"/>
          <w:sz w:val="24"/>
          <w:szCs w:val="24"/>
        </w:rPr>
        <w:t>projets,</w:t>
      </w:r>
      <w:r w:rsidR="002453CF" w:rsidRPr="00A3642F">
        <w:rPr>
          <w:rFonts w:ascii="Calibri" w:eastAsia="Calibri" w:hAnsi="Calibri" w:cs="Calibri"/>
          <w:sz w:val="24"/>
          <w:szCs w:val="24"/>
        </w:rPr>
        <w:t xml:space="preserve"> </w:t>
      </w:r>
      <w:r w:rsidR="00781DD2" w:rsidRPr="00A3642F">
        <w:rPr>
          <w:rFonts w:ascii="Calibri" w:eastAsia="Calibri" w:hAnsi="Calibri" w:cs="Calibri"/>
          <w:sz w:val="24"/>
          <w:szCs w:val="24"/>
        </w:rPr>
        <w:t>…</w:t>
      </w:r>
      <w:r w:rsidRPr="00A3642F">
        <w:rPr>
          <w:rFonts w:ascii="Calibri" w:eastAsia="Calibri" w:hAnsi="Calibri" w:cs="Calibri"/>
          <w:sz w:val="24"/>
          <w:szCs w:val="24"/>
        </w:rPr>
        <w:t xml:space="preserve"> constituent</w:t>
      </w:r>
      <w:r>
        <w:rPr>
          <w:rFonts w:ascii="Calibri" w:eastAsia="Calibri" w:hAnsi="Calibri" w:cs="Calibri"/>
          <w:sz w:val="24"/>
          <w:szCs w:val="24"/>
        </w:rPr>
        <w:t xml:space="preserve"> des limites à lever pour </w:t>
      </w:r>
      <w:r w:rsidR="00781DD2">
        <w:rPr>
          <w:rFonts w:ascii="Calibri" w:eastAsia="Calibri" w:hAnsi="Calibri" w:cs="Calibri"/>
          <w:sz w:val="24"/>
          <w:szCs w:val="24"/>
        </w:rPr>
        <w:t xml:space="preserve">optimiser </w:t>
      </w:r>
      <w:r>
        <w:rPr>
          <w:rFonts w:ascii="Calibri" w:eastAsia="Calibri" w:hAnsi="Calibri" w:cs="Calibri"/>
          <w:sz w:val="24"/>
          <w:szCs w:val="24"/>
        </w:rPr>
        <w:t>les contributions des projets à la CDN. Pour la nouvelle CDN et en se basant sur l’analyse des contraintes et des leçons apprises, les principales recommandations suivantes sont faites.</w:t>
      </w:r>
    </w:p>
    <w:p w14:paraId="571CBBAA" w14:textId="77777777" w:rsidR="004936A4" w:rsidRDefault="0002754C">
      <w:pPr>
        <w:numPr>
          <w:ilvl w:val="0"/>
          <w:numId w:val="4"/>
        </w:numPr>
        <w:pBdr>
          <w:top w:val="nil"/>
          <w:left w:val="nil"/>
          <w:bottom w:val="nil"/>
          <w:right w:val="nil"/>
          <w:between w:val="nil"/>
        </w:pBdr>
        <w:spacing w:after="0" w:line="240" w:lineRule="auto"/>
        <w:ind w:left="0" w:firstLine="360"/>
        <w:jc w:val="both"/>
        <w:rPr>
          <w:rFonts w:ascii="Calibri" w:eastAsia="Calibri" w:hAnsi="Calibri" w:cs="Calibri"/>
          <w:b/>
          <w:color w:val="000000"/>
          <w:sz w:val="24"/>
          <w:szCs w:val="24"/>
        </w:rPr>
      </w:pPr>
      <w:r>
        <w:rPr>
          <w:rFonts w:ascii="Calibri" w:eastAsia="Calibri" w:hAnsi="Calibri" w:cs="Calibri"/>
          <w:b/>
          <w:color w:val="000000"/>
          <w:sz w:val="24"/>
          <w:szCs w:val="24"/>
        </w:rPr>
        <w:t>Pour les DGESS des ministères</w:t>
      </w:r>
    </w:p>
    <w:p w14:paraId="4BFF36B9" w14:textId="3B36BB83" w:rsidR="004936A4" w:rsidRPr="00161F03" w:rsidRDefault="0002754C" w:rsidP="00161F03">
      <w:pPr>
        <w:numPr>
          <w:ilvl w:val="0"/>
          <w:numId w:val="6"/>
        </w:numPr>
        <w:pBdr>
          <w:top w:val="nil"/>
          <w:left w:val="nil"/>
          <w:bottom w:val="nil"/>
          <w:right w:val="nil"/>
          <w:between w:val="nil"/>
        </w:pBdr>
        <w:spacing w:after="0" w:line="240" w:lineRule="auto"/>
        <w:ind w:left="142" w:hanging="142"/>
        <w:jc w:val="both"/>
        <w:rPr>
          <w:rFonts w:ascii="Calibri" w:eastAsia="Calibri" w:hAnsi="Calibri" w:cs="Calibri"/>
          <w:b/>
          <w:color w:val="000000"/>
          <w:sz w:val="24"/>
          <w:szCs w:val="24"/>
        </w:rPr>
      </w:pPr>
      <w:r>
        <w:rPr>
          <w:rFonts w:ascii="Calibri" w:eastAsia="Calibri" w:hAnsi="Calibri" w:cs="Calibri"/>
          <w:color w:val="000000"/>
          <w:sz w:val="24"/>
          <w:szCs w:val="24"/>
        </w:rPr>
        <w:t>Rendre obligatoire la prise en compte du genre dans la collecte des données et dans la capitalisation des résultats des projets et programmes suivi dans le cadre de la future CD</w:t>
      </w:r>
      <w:r w:rsidR="00161F03">
        <w:rPr>
          <w:rFonts w:ascii="Calibri" w:eastAsia="Calibri" w:hAnsi="Calibri" w:cs="Calibri"/>
          <w:color w:val="000000"/>
          <w:sz w:val="24"/>
          <w:szCs w:val="24"/>
        </w:rPr>
        <w:t>N,</w:t>
      </w:r>
    </w:p>
    <w:p w14:paraId="18E33CD0" w14:textId="40480AF4" w:rsidR="004936A4" w:rsidRDefault="0002754C" w:rsidP="00781DD2">
      <w:pPr>
        <w:numPr>
          <w:ilvl w:val="0"/>
          <w:numId w:val="6"/>
        </w:numPr>
        <w:pBdr>
          <w:top w:val="nil"/>
          <w:left w:val="nil"/>
          <w:bottom w:val="nil"/>
          <w:right w:val="nil"/>
          <w:between w:val="nil"/>
        </w:pBdr>
        <w:spacing w:after="0" w:line="240" w:lineRule="auto"/>
        <w:ind w:left="142" w:hanging="142"/>
        <w:jc w:val="both"/>
        <w:rPr>
          <w:rFonts w:ascii="Calibri" w:eastAsia="Calibri" w:hAnsi="Calibri" w:cs="Calibri"/>
          <w:b/>
          <w:color w:val="000000"/>
          <w:sz w:val="24"/>
          <w:szCs w:val="24"/>
        </w:rPr>
      </w:pPr>
      <w:r>
        <w:rPr>
          <w:rFonts w:ascii="Calibri" w:eastAsia="Calibri" w:hAnsi="Calibri" w:cs="Calibri"/>
          <w:color w:val="000000"/>
          <w:sz w:val="24"/>
          <w:szCs w:val="24"/>
        </w:rPr>
        <w:t>Intégrer systématique</w:t>
      </w:r>
      <w:r w:rsidR="00781DD2">
        <w:rPr>
          <w:rFonts w:ascii="Calibri" w:eastAsia="Calibri" w:hAnsi="Calibri" w:cs="Calibri"/>
          <w:color w:val="000000"/>
          <w:sz w:val="24"/>
          <w:szCs w:val="24"/>
        </w:rPr>
        <w:t>ment</w:t>
      </w:r>
      <w:r>
        <w:rPr>
          <w:rFonts w:ascii="Calibri" w:eastAsia="Calibri" w:hAnsi="Calibri" w:cs="Calibri"/>
          <w:color w:val="000000"/>
          <w:sz w:val="24"/>
          <w:szCs w:val="24"/>
        </w:rPr>
        <w:t xml:space="preserve"> la quantification du carbone économisé dans les projets et programmes de développement en </w:t>
      </w:r>
      <w:r w:rsidRPr="00A3642F">
        <w:rPr>
          <w:rFonts w:ascii="Calibri" w:eastAsia="Calibri" w:hAnsi="Calibri" w:cs="Calibri"/>
          <w:color w:val="000000"/>
          <w:sz w:val="24"/>
          <w:szCs w:val="24"/>
        </w:rPr>
        <w:t>lien avec ou pas la</w:t>
      </w:r>
      <w:r>
        <w:rPr>
          <w:rFonts w:ascii="Calibri" w:eastAsia="Calibri" w:hAnsi="Calibri" w:cs="Calibri"/>
          <w:color w:val="000000"/>
          <w:sz w:val="24"/>
          <w:szCs w:val="24"/>
        </w:rPr>
        <w:t xml:space="preserve"> CDN,</w:t>
      </w:r>
    </w:p>
    <w:p w14:paraId="60A0B6BA" w14:textId="77777777" w:rsidR="004936A4" w:rsidRDefault="0002754C" w:rsidP="00781DD2">
      <w:pPr>
        <w:numPr>
          <w:ilvl w:val="0"/>
          <w:numId w:val="6"/>
        </w:numPr>
        <w:pBdr>
          <w:top w:val="nil"/>
          <w:left w:val="nil"/>
          <w:bottom w:val="nil"/>
          <w:right w:val="nil"/>
          <w:between w:val="nil"/>
        </w:pBdr>
        <w:spacing w:after="0" w:line="240" w:lineRule="auto"/>
        <w:ind w:left="142" w:hanging="142"/>
        <w:jc w:val="both"/>
        <w:rPr>
          <w:rFonts w:ascii="Calibri" w:eastAsia="Calibri" w:hAnsi="Calibri" w:cs="Calibri"/>
          <w:b/>
          <w:color w:val="000000"/>
          <w:sz w:val="24"/>
          <w:szCs w:val="24"/>
        </w:rPr>
      </w:pPr>
      <w:r>
        <w:rPr>
          <w:rFonts w:ascii="Calibri" w:eastAsia="Calibri" w:hAnsi="Calibri" w:cs="Calibri"/>
          <w:color w:val="000000"/>
          <w:sz w:val="24"/>
          <w:szCs w:val="24"/>
        </w:rPr>
        <w:t>Renforcer la synergie entre les acteurs/institutions de recherche pour améliorer la coordination et la promotion des résultats de la recherche en lien avec l’adaptation et l’atténuation.</w:t>
      </w:r>
    </w:p>
    <w:p w14:paraId="108EDC22" w14:textId="2AC99742" w:rsidR="004936A4" w:rsidRDefault="0002754C">
      <w:pPr>
        <w:numPr>
          <w:ilvl w:val="0"/>
          <w:numId w:val="4"/>
        </w:numPr>
        <w:pBdr>
          <w:top w:val="nil"/>
          <w:left w:val="nil"/>
          <w:bottom w:val="nil"/>
          <w:right w:val="nil"/>
          <w:between w:val="nil"/>
        </w:pBdr>
        <w:spacing w:after="0" w:line="240" w:lineRule="auto"/>
        <w:jc w:val="both"/>
        <w:rPr>
          <w:rFonts w:ascii="Calibri" w:eastAsia="Calibri" w:hAnsi="Calibri" w:cs="Calibri"/>
          <w:b/>
          <w:color w:val="000000"/>
          <w:sz w:val="24"/>
          <w:szCs w:val="24"/>
        </w:rPr>
      </w:pPr>
      <w:r>
        <w:rPr>
          <w:rFonts w:ascii="Calibri" w:eastAsia="Calibri" w:hAnsi="Calibri" w:cs="Calibri"/>
          <w:b/>
          <w:color w:val="000000"/>
          <w:sz w:val="24"/>
          <w:szCs w:val="24"/>
        </w:rPr>
        <w:t xml:space="preserve">Pour </w:t>
      </w:r>
      <w:r w:rsidRPr="0045179B">
        <w:rPr>
          <w:rFonts w:ascii="Calibri" w:eastAsia="Calibri" w:hAnsi="Calibri" w:cs="Calibri"/>
          <w:b/>
          <w:color w:val="000000"/>
          <w:sz w:val="24"/>
          <w:szCs w:val="24"/>
        </w:rPr>
        <w:t>le SP/CNDD</w:t>
      </w:r>
      <w:r w:rsidR="0045179B" w:rsidRPr="00E4481A">
        <w:rPr>
          <w:rFonts w:ascii="Calibri" w:eastAsia="Calibri" w:hAnsi="Calibri" w:cs="Calibri"/>
          <w:b/>
          <w:color w:val="000000"/>
          <w:sz w:val="24"/>
          <w:szCs w:val="24"/>
        </w:rPr>
        <w:t xml:space="preserve"> </w:t>
      </w:r>
      <w:r w:rsidR="0045179B" w:rsidRPr="00343F9E">
        <w:rPr>
          <w:rFonts w:ascii="Calibri" w:eastAsia="Calibri" w:hAnsi="Calibri" w:cs="Calibri"/>
          <w:bCs/>
          <w:color w:val="000000"/>
          <w:sz w:val="24"/>
          <w:szCs w:val="24"/>
        </w:rPr>
        <w:t>(</w:t>
      </w:r>
      <w:r w:rsidR="0045179B" w:rsidRPr="0045179B">
        <w:t>Secrétariat Permanent du Conseil National pour le Développement Durable)</w:t>
      </w:r>
      <w:r w:rsidRPr="0045179B">
        <w:rPr>
          <w:rFonts w:ascii="Calibri" w:eastAsia="Calibri" w:hAnsi="Calibri" w:cs="Calibri"/>
          <w:b/>
          <w:color w:val="000000"/>
          <w:sz w:val="24"/>
          <w:szCs w:val="24"/>
        </w:rPr>
        <w:t>, le SP/</w:t>
      </w:r>
      <w:r w:rsidRPr="00E3220E">
        <w:rPr>
          <w:rFonts w:ascii="Calibri" w:eastAsia="Calibri" w:hAnsi="Calibri" w:cs="Calibri"/>
          <w:b/>
          <w:color w:val="000000"/>
          <w:sz w:val="24"/>
          <w:szCs w:val="24"/>
        </w:rPr>
        <w:t>ONDD et les PTF</w:t>
      </w:r>
    </w:p>
    <w:p w14:paraId="539FC0AB" w14:textId="77777777" w:rsidR="004936A4" w:rsidRDefault="0002754C" w:rsidP="00781DD2">
      <w:pPr>
        <w:numPr>
          <w:ilvl w:val="0"/>
          <w:numId w:val="6"/>
        </w:numPr>
        <w:pBdr>
          <w:top w:val="nil"/>
          <w:left w:val="nil"/>
          <w:bottom w:val="nil"/>
          <w:right w:val="nil"/>
          <w:between w:val="nil"/>
        </w:pBdr>
        <w:spacing w:after="0" w:line="240" w:lineRule="auto"/>
        <w:ind w:left="142" w:hanging="142"/>
        <w:jc w:val="both"/>
        <w:rPr>
          <w:rFonts w:ascii="Calibri" w:eastAsia="Calibri" w:hAnsi="Calibri" w:cs="Calibri"/>
          <w:b/>
          <w:color w:val="000000"/>
          <w:sz w:val="24"/>
          <w:szCs w:val="24"/>
        </w:rPr>
      </w:pPr>
      <w:r>
        <w:rPr>
          <w:rFonts w:ascii="Calibri" w:eastAsia="Calibri" w:hAnsi="Calibri" w:cs="Calibri"/>
          <w:color w:val="000000"/>
          <w:sz w:val="24"/>
          <w:szCs w:val="24"/>
        </w:rPr>
        <w:t>Opérationnaliser le dispositif de suivi-évaluation dans la future CDN et assurer son fonctionnement en prévoyant des ressources conséquentes,</w:t>
      </w:r>
    </w:p>
    <w:p w14:paraId="32AF426E" w14:textId="1DDE889E" w:rsidR="004936A4" w:rsidRDefault="0002754C" w:rsidP="00781DD2">
      <w:pPr>
        <w:numPr>
          <w:ilvl w:val="0"/>
          <w:numId w:val="6"/>
        </w:numPr>
        <w:pBdr>
          <w:top w:val="nil"/>
          <w:left w:val="nil"/>
          <w:bottom w:val="nil"/>
          <w:right w:val="nil"/>
          <w:between w:val="nil"/>
        </w:pBdr>
        <w:spacing w:after="0" w:line="240" w:lineRule="auto"/>
        <w:ind w:left="142" w:hanging="142"/>
        <w:jc w:val="both"/>
        <w:rPr>
          <w:rFonts w:ascii="Calibri" w:eastAsia="Calibri" w:hAnsi="Calibri" w:cs="Calibri"/>
          <w:b/>
          <w:color w:val="000000"/>
          <w:sz w:val="24"/>
          <w:szCs w:val="24"/>
        </w:rPr>
      </w:pPr>
      <w:r>
        <w:rPr>
          <w:rFonts w:ascii="Calibri" w:eastAsia="Calibri" w:hAnsi="Calibri" w:cs="Calibri"/>
          <w:color w:val="000000"/>
          <w:sz w:val="24"/>
          <w:szCs w:val="24"/>
        </w:rPr>
        <w:t>Assurer la promotion de la CDN à travers des moyens et outils adaptés pour une meilleure connaissance de la CDN par les différents acteurs</w:t>
      </w:r>
      <w:r w:rsidR="00CC6B6A">
        <w:rPr>
          <w:rFonts w:ascii="Calibri" w:eastAsia="Calibri" w:hAnsi="Calibri" w:cs="Calibri"/>
          <w:color w:val="000000"/>
          <w:sz w:val="24"/>
          <w:szCs w:val="24"/>
        </w:rPr>
        <w:t xml:space="preserve"> et actrices</w:t>
      </w:r>
      <w:r>
        <w:rPr>
          <w:rFonts w:ascii="Calibri" w:eastAsia="Calibri" w:hAnsi="Calibri" w:cs="Calibri"/>
          <w:color w:val="000000"/>
          <w:sz w:val="24"/>
          <w:szCs w:val="24"/>
        </w:rPr>
        <w:t xml:space="preserve"> : ateliers d’information, présentations lors des différents cadres de concertations des services administratifs déconcentrés, messages radiophoniques et télévisuels, théâtres – forums</w:t>
      </w:r>
      <w:r w:rsidRPr="00793122">
        <w:rPr>
          <w:rFonts w:ascii="Calibri" w:eastAsia="Calibri" w:hAnsi="Calibri" w:cs="Calibri"/>
          <w:color w:val="000000"/>
          <w:sz w:val="24"/>
          <w:szCs w:val="24"/>
        </w:rPr>
        <w:t>, etc</w:t>
      </w:r>
      <w:r w:rsidR="00793122">
        <w:rPr>
          <w:rFonts w:ascii="Calibri" w:eastAsia="Calibri" w:hAnsi="Calibri" w:cs="Calibri"/>
          <w:color w:val="000000"/>
          <w:sz w:val="24"/>
          <w:szCs w:val="24"/>
        </w:rPr>
        <w:t>.</w:t>
      </w:r>
      <w:r w:rsidRPr="00793122">
        <w:rPr>
          <w:rFonts w:ascii="Calibri" w:eastAsia="Calibri" w:hAnsi="Calibri" w:cs="Calibri"/>
          <w:color w:val="000000"/>
          <w:sz w:val="24"/>
          <w:szCs w:val="24"/>
        </w:rPr>
        <w:t>,</w:t>
      </w:r>
    </w:p>
    <w:p w14:paraId="0894356E" w14:textId="2CCBB350" w:rsidR="004936A4" w:rsidRDefault="0002754C" w:rsidP="00781DD2">
      <w:pPr>
        <w:numPr>
          <w:ilvl w:val="0"/>
          <w:numId w:val="6"/>
        </w:numPr>
        <w:pBdr>
          <w:top w:val="nil"/>
          <w:left w:val="nil"/>
          <w:bottom w:val="nil"/>
          <w:right w:val="nil"/>
          <w:between w:val="nil"/>
        </w:pBdr>
        <w:spacing w:line="240" w:lineRule="auto"/>
        <w:ind w:left="142" w:hanging="142"/>
        <w:jc w:val="both"/>
        <w:rPr>
          <w:rFonts w:ascii="Calibri" w:eastAsia="Calibri" w:hAnsi="Calibri" w:cs="Calibri"/>
          <w:b/>
          <w:color w:val="000000"/>
          <w:sz w:val="24"/>
          <w:szCs w:val="24"/>
        </w:rPr>
      </w:pPr>
      <w:r>
        <w:rPr>
          <w:rFonts w:ascii="Calibri" w:eastAsia="Calibri" w:hAnsi="Calibri" w:cs="Calibri"/>
          <w:color w:val="000000"/>
          <w:sz w:val="24"/>
          <w:szCs w:val="24"/>
        </w:rPr>
        <w:t>Développer une plateforme de gestion et de partage des connaissances sur la CDN et sur l’ensemble des politiques sectorielles</w:t>
      </w:r>
      <w:r w:rsidR="00D3043B">
        <w:rPr>
          <w:rFonts w:ascii="Calibri" w:eastAsia="Calibri" w:hAnsi="Calibri" w:cs="Calibri"/>
          <w:color w:val="000000"/>
          <w:sz w:val="24"/>
          <w:szCs w:val="24"/>
        </w:rPr>
        <w:t xml:space="preserve"> associées</w:t>
      </w:r>
      <w:r>
        <w:rPr>
          <w:rFonts w:ascii="Calibri" w:eastAsia="Calibri" w:hAnsi="Calibri" w:cs="Calibri"/>
          <w:color w:val="000000"/>
          <w:sz w:val="24"/>
          <w:szCs w:val="24"/>
        </w:rPr>
        <w:t>.</w:t>
      </w:r>
    </w:p>
    <w:p w14:paraId="38D26AAB" w14:textId="77777777" w:rsidR="004936A4" w:rsidRDefault="004936A4">
      <w:pPr>
        <w:jc w:val="both"/>
        <w:rPr>
          <w:rFonts w:ascii="Calibri" w:eastAsia="Calibri" w:hAnsi="Calibri" w:cs="Calibri"/>
          <w:sz w:val="24"/>
          <w:szCs w:val="24"/>
        </w:rPr>
      </w:pPr>
    </w:p>
    <w:sectPr w:rsidR="004936A4" w:rsidSect="00E4481A">
      <w:headerReference w:type="default" r:id="rId14"/>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13D11" w14:textId="77777777" w:rsidR="004B6DE1" w:rsidRDefault="004B6DE1">
      <w:pPr>
        <w:spacing w:after="0" w:line="240" w:lineRule="auto"/>
      </w:pPr>
      <w:r>
        <w:separator/>
      </w:r>
    </w:p>
  </w:endnote>
  <w:endnote w:type="continuationSeparator" w:id="0">
    <w:p w14:paraId="56848044" w14:textId="77777777" w:rsidR="004B6DE1" w:rsidRDefault="004B6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75AF8" w14:textId="77777777" w:rsidR="004B6DE1" w:rsidRDefault="004B6DE1">
      <w:pPr>
        <w:spacing w:after="0" w:line="240" w:lineRule="auto"/>
      </w:pPr>
      <w:r>
        <w:separator/>
      </w:r>
    </w:p>
  </w:footnote>
  <w:footnote w:type="continuationSeparator" w:id="0">
    <w:p w14:paraId="1ED337D2" w14:textId="77777777" w:rsidR="004B6DE1" w:rsidRDefault="004B6DE1">
      <w:pPr>
        <w:spacing w:after="0" w:line="240" w:lineRule="auto"/>
      </w:pPr>
      <w:r>
        <w:continuationSeparator/>
      </w:r>
    </w:p>
  </w:footnote>
  <w:footnote w:id="1">
    <w:p w14:paraId="0185A7D1" w14:textId="1F820213" w:rsidR="004E4834" w:rsidRPr="00810FE4" w:rsidRDefault="004E4834" w:rsidP="004E4834">
      <w:pPr>
        <w:pStyle w:val="FootnoteText"/>
      </w:pPr>
      <w:r>
        <w:rPr>
          <w:rStyle w:val="FootnoteReference"/>
        </w:rPr>
        <w:footnoteRef/>
      </w:r>
      <w:r>
        <w:t xml:space="preserve"> </w:t>
      </w:r>
      <w:r w:rsidRPr="00810FE4">
        <w:t>1. Amélioration plus rapide du parc de véhicule, 2.  Substitution de biocarburants aux hydrocarbures: unités de production de bioéthanol, 3. Substitution de biocarburants aux hydrocarbures</w:t>
      </w:r>
      <w:r w:rsidR="00AA17E9">
        <w:t>.</w:t>
      </w:r>
      <w:r w:rsidRPr="00810FE4">
        <w:t xml:space="preserve"> </w:t>
      </w:r>
    </w:p>
    <w:p w14:paraId="7F83A1C9" w14:textId="77777777" w:rsidR="004E4834" w:rsidRPr="00EA3906" w:rsidRDefault="004E4834" w:rsidP="004E4834">
      <w:pPr>
        <w:pStyle w:val="FootnoteText"/>
      </w:pPr>
    </w:p>
  </w:footnote>
  <w:footnote w:id="2">
    <w:p w14:paraId="77E2AA4E" w14:textId="77777777" w:rsidR="004E4834" w:rsidRPr="004C15D3" w:rsidRDefault="004E4834" w:rsidP="004E4834">
      <w:pPr>
        <w:spacing w:line="240" w:lineRule="auto"/>
        <w:jc w:val="both"/>
        <w:rPr>
          <w:rFonts w:ascii="Calibri" w:eastAsia="Calibri" w:hAnsi="Calibri" w:cs="Calibri"/>
          <w:color w:val="000000"/>
          <w:sz w:val="24"/>
          <w:szCs w:val="24"/>
        </w:rPr>
      </w:pPr>
      <w:r>
        <w:rPr>
          <w:rStyle w:val="FootnoteReference"/>
        </w:rPr>
        <w:footnoteRef/>
      </w:r>
      <w:r>
        <w:t xml:space="preserve"> </w:t>
      </w:r>
      <w:r w:rsidRPr="005A0DCC">
        <w:rPr>
          <w:sz w:val="20"/>
          <w:szCs w:val="20"/>
        </w:rPr>
        <w:t>Il s’agit entre autres du : 1. Projet de transport et de développement des infrastructures urbaines (PTDIU), 2. Renouvellement du parc automobile de transport, 3. Projet d'appui à la modernisation du secteur des transports (PAMOSET-FC), 4. Renforcer le parc de bus, 5. Projet Pilote de Transfert Modal à Ouagadougou (PPTMO), 6. Huit projets de construction d’ouvrages d’arts et d’ouvrages hydropiques, 7. Deux hydrométéorologies alertes précoces (CREWS et HYDROMT), 8. Création en 2018 d’un « service de santé publique et environnementale » au sein de la Direction Générale de la Santé Publique ; 9. Création d’un master « environnement et santé » à l’université de Ouagadougou.</w:t>
      </w:r>
      <w:r>
        <w:rPr>
          <w:rFonts w:ascii="Calibri" w:eastAsia="Calibri" w:hAnsi="Calibri" w:cs="Calibri"/>
          <w:color w:val="000000"/>
          <w:sz w:val="24"/>
          <w:szCs w:val="24"/>
        </w:rPr>
        <w:t xml:space="preserve"> </w:t>
      </w:r>
    </w:p>
  </w:footnote>
  <w:footnote w:id="3">
    <w:p w14:paraId="2BDFA8F1" w14:textId="34FA621B" w:rsidR="006D61A0" w:rsidRPr="006734A5" w:rsidRDefault="006D61A0" w:rsidP="006D61A0">
      <w:pPr>
        <w:pBdr>
          <w:top w:val="nil"/>
          <w:left w:val="nil"/>
          <w:bottom w:val="nil"/>
          <w:right w:val="nil"/>
          <w:between w:val="nil"/>
        </w:pBdr>
        <w:spacing w:after="0" w:line="240" w:lineRule="auto"/>
        <w:jc w:val="both"/>
        <w:rPr>
          <w:rFonts w:ascii="Calibri" w:eastAsia="Calibri" w:hAnsi="Calibri" w:cs="Calibri"/>
          <w:color w:val="000000"/>
          <w:sz w:val="20"/>
          <w:szCs w:val="20"/>
        </w:rPr>
      </w:pPr>
      <w:r w:rsidRPr="006734A5">
        <w:rPr>
          <w:rStyle w:val="FootnoteReference"/>
          <w:sz w:val="20"/>
          <w:szCs w:val="20"/>
        </w:rPr>
        <w:footnoteRef/>
      </w:r>
      <w:r w:rsidRPr="006734A5">
        <w:rPr>
          <w:sz w:val="20"/>
          <w:szCs w:val="20"/>
        </w:rPr>
        <w:t xml:space="preserve"> 1. </w:t>
      </w:r>
      <w:r w:rsidRPr="006734A5">
        <w:rPr>
          <w:rFonts w:ascii="Calibri" w:eastAsia="Calibri" w:hAnsi="Calibri" w:cs="Calibri"/>
          <w:color w:val="000000"/>
          <w:sz w:val="20"/>
          <w:szCs w:val="20"/>
        </w:rPr>
        <w:t xml:space="preserve">Cartographie et marquage des zones à risques d'inondation dans les agglomérations de plus de 5000 habitants en adaptation aux </w:t>
      </w:r>
      <w:r w:rsidR="007158DF">
        <w:rPr>
          <w:rFonts w:ascii="Calibri" w:eastAsia="Calibri" w:hAnsi="Calibri" w:cs="Calibri"/>
          <w:color w:val="000000"/>
          <w:sz w:val="20"/>
          <w:szCs w:val="20"/>
        </w:rPr>
        <w:t>changement climatique</w:t>
      </w:r>
      <w:r w:rsidRPr="006734A5">
        <w:rPr>
          <w:rFonts w:ascii="Calibri" w:eastAsia="Calibri" w:hAnsi="Calibri" w:cs="Calibri"/>
          <w:color w:val="000000"/>
          <w:sz w:val="20"/>
          <w:szCs w:val="20"/>
        </w:rPr>
        <w:t xml:space="preserve">, 2. Gestion des eaux pluviales et prévention des inondations dans les 13 capitales régionales du pays, 3. Restauration et aménagement de la ceinture verte de Ouagadougou, 4. Valorisation des matériaux locaux et Promotion d'un habitat sans bois ni tôle en adaptation aux </w:t>
      </w:r>
      <w:r w:rsidR="007158DF">
        <w:rPr>
          <w:rFonts w:ascii="Calibri" w:eastAsia="Calibri" w:hAnsi="Calibri" w:cs="Calibri"/>
          <w:color w:val="000000"/>
          <w:sz w:val="20"/>
          <w:szCs w:val="20"/>
        </w:rPr>
        <w:t>changement climatique</w:t>
      </w:r>
      <w:r w:rsidRPr="006734A5">
        <w:rPr>
          <w:rFonts w:ascii="Calibri" w:eastAsia="Calibri" w:hAnsi="Calibri" w:cs="Calibri"/>
          <w:color w:val="000000"/>
          <w:sz w:val="20"/>
          <w:szCs w:val="20"/>
        </w:rPr>
        <w:t xml:space="preserve"> dans les zone rurales et semi-urbaines du Burkina, 5. Efficacité énergétique dans l'habitat urbain et rural, 6. Recherche et Développement de Technologies dans l'architecture et la construction en adaptation aux </w:t>
      </w:r>
      <w:r w:rsidR="007158DF">
        <w:rPr>
          <w:rFonts w:ascii="Calibri" w:eastAsia="Calibri" w:hAnsi="Calibri" w:cs="Calibri"/>
          <w:color w:val="000000"/>
          <w:sz w:val="20"/>
          <w:szCs w:val="20"/>
        </w:rPr>
        <w:t>changement climatique</w:t>
      </w:r>
      <w:r w:rsidRPr="006734A5">
        <w:rPr>
          <w:rFonts w:ascii="Calibri" w:eastAsia="Calibri" w:hAnsi="Calibri" w:cs="Calibri"/>
          <w:color w:val="000000"/>
          <w:sz w:val="20"/>
          <w:szCs w:val="20"/>
        </w:rPr>
        <w:t>.</w:t>
      </w:r>
    </w:p>
    <w:p w14:paraId="0816E7EF" w14:textId="3E60EB4F" w:rsidR="006D61A0" w:rsidRPr="001209D2" w:rsidRDefault="006D61A0">
      <w:pPr>
        <w:pStyle w:val="FootnoteText"/>
      </w:pPr>
    </w:p>
  </w:footnote>
  <w:footnote w:id="4">
    <w:p w14:paraId="650E4C1F" w14:textId="6ED48C7D" w:rsidR="006D61A0" w:rsidRPr="006734A5" w:rsidRDefault="006D61A0" w:rsidP="006D61A0">
      <w:pPr>
        <w:pBdr>
          <w:top w:val="nil"/>
          <w:left w:val="nil"/>
          <w:bottom w:val="nil"/>
          <w:right w:val="nil"/>
          <w:between w:val="nil"/>
        </w:pBdr>
        <w:spacing w:after="0" w:line="240" w:lineRule="auto"/>
        <w:jc w:val="both"/>
        <w:rPr>
          <w:rFonts w:ascii="Calibri" w:eastAsia="Calibri" w:hAnsi="Calibri" w:cs="Calibri"/>
          <w:color w:val="000000"/>
          <w:sz w:val="20"/>
          <w:szCs w:val="20"/>
        </w:rPr>
      </w:pPr>
      <w:r w:rsidRPr="006734A5">
        <w:rPr>
          <w:rStyle w:val="FootnoteReference"/>
          <w:sz w:val="20"/>
          <w:szCs w:val="20"/>
        </w:rPr>
        <w:footnoteRef/>
      </w:r>
      <w:r w:rsidRPr="006734A5">
        <w:rPr>
          <w:sz w:val="20"/>
          <w:szCs w:val="20"/>
        </w:rPr>
        <w:t xml:space="preserve"> 1. </w:t>
      </w:r>
      <w:r w:rsidRPr="006734A5">
        <w:rPr>
          <w:rFonts w:ascii="Calibri" w:eastAsia="Calibri" w:hAnsi="Calibri" w:cs="Calibri"/>
          <w:color w:val="000000"/>
          <w:sz w:val="20"/>
          <w:szCs w:val="20"/>
        </w:rPr>
        <w:t xml:space="preserve">Renforcement des capacités de prévision et de réponse aux phénomènes liés aux </w:t>
      </w:r>
      <w:r w:rsidR="007158DF">
        <w:rPr>
          <w:rFonts w:ascii="Calibri" w:eastAsia="Calibri" w:hAnsi="Calibri" w:cs="Calibri"/>
          <w:color w:val="000000"/>
          <w:sz w:val="20"/>
          <w:szCs w:val="20"/>
        </w:rPr>
        <w:t>changement climatique</w:t>
      </w:r>
      <w:r w:rsidRPr="006734A5">
        <w:rPr>
          <w:rFonts w:ascii="Calibri" w:eastAsia="Calibri" w:hAnsi="Calibri" w:cs="Calibri"/>
          <w:color w:val="000000"/>
          <w:sz w:val="20"/>
          <w:szCs w:val="20"/>
        </w:rPr>
        <w:t xml:space="preserve"> : ensemble 9 activités, 2. Développement de la recherche sur la santé et les </w:t>
      </w:r>
      <w:r w:rsidR="007158DF">
        <w:rPr>
          <w:rFonts w:ascii="Calibri" w:eastAsia="Calibri" w:hAnsi="Calibri" w:cs="Calibri"/>
          <w:color w:val="000000"/>
          <w:sz w:val="20"/>
          <w:szCs w:val="20"/>
        </w:rPr>
        <w:t>changement</w:t>
      </w:r>
      <w:r w:rsidR="00C65484">
        <w:rPr>
          <w:rFonts w:ascii="Calibri" w:eastAsia="Calibri" w:hAnsi="Calibri" w:cs="Calibri"/>
          <w:color w:val="000000"/>
          <w:sz w:val="20"/>
          <w:szCs w:val="20"/>
        </w:rPr>
        <w:t>s</w:t>
      </w:r>
      <w:r w:rsidR="007158DF">
        <w:rPr>
          <w:rFonts w:ascii="Calibri" w:eastAsia="Calibri" w:hAnsi="Calibri" w:cs="Calibri"/>
          <w:color w:val="000000"/>
          <w:sz w:val="20"/>
          <w:szCs w:val="20"/>
        </w:rPr>
        <w:t xml:space="preserve"> climatique</w:t>
      </w:r>
      <w:r w:rsidR="00C65484">
        <w:rPr>
          <w:rFonts w:ascii="Calibri" w:eastAsia="Calibri" w:hAnsi="Calibri" w:cs="Calibri"/>
          <w:color w:val="000000"/>
          <w:sz w:val="20"/>
          <w:szCs w:val="20"/>
        </w:rPr>
        <w:t>s</w:t>
      </w:r>
      <w:r w:rsidRPr="006734A5">
        <w:rPr>
          <w:rFonts w:ascii="Calibri" w:eastAsia="Calibri" w:hAnsi="Calibri" w:cs="Calibri"/>
          <w:color w:val="000000"/>
          <w:sz w:val="20"/>
          <w:szCs w:val="20"/>
        </w:rPr>
        <w:t xml:space="preserve">, 3. Renforcement des compétences du personnel sur les maladies sensibles aux </w:t>
      </w:r>
      <w:r w:rsidR="007158DF">
        <w:rPr>
          <w:rFonts w:ascii="Calibri" w:eastAsia="Calibri" w:hAnsi="Calibri" w:cs="Calibri"/>
          <w:color w:val="000000"/>
          <w:sz w:val="20"/>
          <w:szCs w:val="20"/>
        </w:rPr>
        <w:t>changement climatique</w:t>
      </w:r>
      <w:r w:rsidRPr="006734A5">
        <w:rPr>
          <w:rFonts w:ascii="Calibri" w:eastAsia="Calibri" w:hAnsi="Calibri" w:cs="Calibri"/>
          <w:color w:val="000000"/>
          <w:sz w:val="20"/>
          <w:szCs w:val="20"/>
        </w:rPr>
        <w:t xml:space="preserve"> : formation de 1000 spécialistes, 4. Renforcement des capacités de prévision et de réponse aux phénomènes liés aux </w:t>
      </w:r>
      <w:r w:rsidR="007158DF">
        <w:rPr>
          <w:rFonts w:ascii="Calibri" w:eastAsia="Calibri" w:hAnsi="Calibri" w:cs="Calibri"/>
          <w:color w:val="000000"/>
          <w:sz w:val="20"/>
          <w:szCs w:val="20"/>
        </w:rPr>
        <w:t>changement climatique</w:t>
      </w:r>
      <w:r w:rsidRPr="006734A5">
        <w:rPr>
          <w:rFonts w:ascii="Calibri" w:eastAsia="Calibri" w:hAnsi="Calibri" w:cs="Calibri"/>
          <w:color w:val="000000"/>
          <w:sz w:val="20"/>
          <w:szCs w:val="20"/>
        </w:rPr>
        <w:t xml:space="preserve"> : création d'un centre de Veille sanitaire MT.</w:t>
      </w:r>
    </w:p>
    <w:p w14:paraId="663FD75F" w14:textId="708B3B2B" w:rsidR="006D61A0" w:rsidRPr="006D61A0" w:rsidRDefault="006D61A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2CDA1" w14:textId="77777777" w:rsidR="004936A4" w:rsidRDefault="0002754C">
    <w:pPr>
      <w:pBdr>
        <w:top w:val="nil"/>
        <w:left w:val="nil"/>
        <w:bottom w:val="nil"/>
        <w:right w:val="nil"/>
        <w:between w:val="nil"/>
      </w:pBdr>
      <w:tabs>
        <w:tab w:val="center" w:pos="4536"/>
        <w:tab w:val="right" w:pos="9072"/>
      </w:tabs>
      <w:spacing w:after="0" w:line="240" w:lineRule="auto"/>
      <w:rPr>
        <w:color w:val="000000"/>
      </w:rPr>
    </w:pPr>
    <w:r>
      <w:rPr>
        <w:rFonts w:ascii="Trebuchet MS" w:eastAsia="Trebuchet MS" w:hAnsi="Trebuchet MS" w:cs="Trebuchet MS"/>
        <w:color w:val="00000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90D7F"/>
    <w:multiLevelType w:val="hybridMultilevel"/>
    <w:tmpl w:val="DC5E8F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C71EF"/>
    <w:multiLevelType w:val="multilevel"/>
    <w:tmpl w:val="43BAA398"/>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7707F8D"/>
    <w:multiLevelType w:val="multilevel"/>
    <w:tmpl w:val="306ACB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165F0F"/>
    <w:multiLevelType w:val="multilevel"/>
    <w:tmpl w:val="09C2B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9D75A4"/>
    <w:multiLevelType w:val="multilevel"/>
    <w:tmpl w:val="D1926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B47F2D"/>
    <w:multiLevelType w:val="multilevel"/>
    <w:tmpl w:val="6C0A5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E503B50"/>
    <w:multiLevelType w:val="multilevel"/>
    <w:tmpl w:val="74F8D0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CA0147"/>
    <w:multiLevelType w:val="multilevel"/>
    <w:tmpl w:val="FAD09E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69568B"/>
    <w:multiLevelType w:val="hybridMultilevel"/>
    <w:tmpl w:val="C5805C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4D5D2D"/>
    <w:multiLevelType w:val="hybridMultilevel"/>
    <w:tmpl w:val="C27CC6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1861A2"/>
    <w:multiLevelType w:val="hybridMultilevel"/>
    <w:tmpl w:val="CD641ED6"/>
    <w:lvl w:ilvl="0" w:tplc="B3AC7A76">
      <w:start w:val="1"/>
      <w:numFmt w:val="upperRoman"/>
      <w:lvlText w:val="%1."/>
      <w:lvlJc w:val="left"/>
      <w:pPr>
        <w:ind w:left="1080" w:hanging="720"/>
      </w:pPr>
      <w:rPr>
        <w:rFonts w:asciiTheme="majorHAnsi" w:hAnsiTheme="majorHAnsi" w:cstheme="majorBidi" w:hint="default"/>
        <w:color w:val="54A021" w:themeColor="accent2"/>
        <w:sz w:val="3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A2E0418"/>
    <w:multiLevelType w:val="hybridMultilevel"/>
    <w:tmpl w:val="739203B6"/>
    <w:lvl w:ilvl="0" w:tplc="01F0CCCE">
      <w:start w:val="5"/>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FC573D"/>
    <w:multiLevelType w:val="multilevel"/>
    <w:tmpl w:val="1876D6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BFF3B17"/>
    <w:multiLevelType w:val="hybridMultilevel"/>
    <w:tmpl w:val="EC6A2BD0"/>
    <w:lvl w:ilvl="0" w:tplc="0809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1DDD53BB"/>
    <w:multiLevelType w:val="multilevel"/>
    <w:tmpl w:val="D5221BF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E207118"/>
    <w:multiLevelType w:val="multilevel"/>
    <w:tmpl w:val="CC1ABC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8520B20"/>
    <w:multiLevelType w:val="hybridMultilevel"/>
    <w:tmpl w:val="037E65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211602"/>
    <w:multiLevelType w:val="multilevel"/>
    <w:tmpl w:val="DA48BD0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D681FB6"/>
    <w:multiLevelType w:val="multilevel"/>
    <w:tmpl w:val="6E3E99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D7A5D19"/>
    <w:multiLevelType w:val="multilevel"/>
    <w:tmpl w:val="BCE072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0351F35"/>
    <w:multiLevelType w:val="hybridMultilevel"/>
    <w:tmpl w:val="59F8ED86"/>
    <w:lvl w:ilvl="0" w:tplc="9C4E027A">
      <w:start w:val="11"/>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9B3343"/>
    <w:multiLevelType w:val="multilevel"/>
    <w:tmpl w:val="93D00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2442A5B"/>
    <w:multiLevelType w:val="hybridMultilevel"/>
    <w:tmpl w:val="352C68B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B47856"/>
    <w:multiLevelType w:val="multilevel"/>
    <w:tmpl w:val="B34ABEB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AEB0D2F"/>
    <w:multiLevelType w:val="multilevel"/>
    <w:tmpl w:val="929CD4D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B6F4EEF"/>
    <w:multiLevelType w:val="hybridMultilevel"/>
    <w:tmpl w:val="93EAE976"/>
    <w:lvl w:ilvl="0" w:tplc="0CF441CC">
      <w:start w:val="1"/>
      <w:numFmt w:val="upperRoman"/>
      <w:lvlText w:val="%1."/>
      <w:lvlJc w:val="left"/>
      <w:pPr>
        <w:ind w:left="1080" w:hanging="720"/>
      </w:pPr>
      <w:rPr>
        <w:rFonts w:hint="default"/>
        <w:color w:val="54A021"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61472C"/>
    <w:multiLevelType w:val="hybridMultilevel"/>
    <w:tmpl w:val="39A841C8"/>
    <w:lvl w:ilvl="0" w:tplc="4EF6BFF2">
      <w:start w:val="1"/>
      <w:numFmt w:val="upperRoman"/>
      <w:lvlText w:val="%1."/>
      <w:lvlJc w:val="left"/>
      <w:pPr>
        <w:ind w:left="1080" w:hanging="720"/>
      </w:pPr>
      <w:rPr>
        <w:rFonts w:asciiTheme="majorHAnsi" w:hAnsiTheme="majorHAnsi" w:cstheme="majorBidi" w:hint="default"/>
        <w:color w:val="54A021" w:themeColor="accent2"/>
        <w:sz w:val="3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01F34DD"/>
    <w:multiLevelType w:val="multilevel"/>
    <w:tmpl w:val="F5B002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1D71464"/>
    <w:multiLevelType w:val="multilevel"/>
    <w:tmpl w:val="0E60ED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3513421"/>
    <w:multiLevelType w:val="multilevel"/>
    <w:tmpl w:val="42D4337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6E8692D"/>
    <w:multiLevelType w:val="hybridMultilevel"/>
    <w:tmpl w:val="53D20F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1B00CA"/>
    <w:multiLevelType w:val="hybridMultilevel"/>
    <w:tmpl w:val="24E81AD2"/>
    <w:lvl w:ilvl="0" w:tplc="5D341DFE">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AFA24BC"/>
    <w:multiLevelType w:val="multilevel"/>
    <w:tmpl w:val="42FE61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BAB2C9E"/>
    <w:multiLevelType w:val="multilevel"/>
    <w:tmpl w:val="A698B04C"/>
    <w:lvl w:ilvl="0">
      <w:start w:val="1"/>
      <w:numFmt w:val="upperRoman"/>
      <w:lvlText w:val="%1."/>
      <w:lvlJc w:val="left"/>
      <w:pPr>
        <w:ind w:left="1080" w:hanging="72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4" w15:restartNumberingAfterBreak="0">
    <w:nsid w:val="4BED7DE6"/>
    <w:multiLevelType w:val="hybridMultilevel"/>
    <w:tmpl w:val="207212D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BF70794"/>
    <w:multiLevelType w:val="hybridMultilevel"/>
    <w:tmpl w:val="C5C8225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5133FB"/>
    <w:multiLevelType w:val="multilevel"/>
    <w:tmpl w:val="B64E7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25A0432"/>
    <w:multiLevelType w:val="multilevel"/>
    <w:tmpl w:val="456A4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3070147"/>
    <w:multiLevelType w:val="multilevel"/>
    <w:tmpl w:val="58F29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3C2057A"/>
    <w:multiLevelType w:val="multilevel"/>
    <w:tmpl w:val="8E3CF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3ED7133"/>
    <w:multiLevelType w:val="multilevel"/>
    <w:tmpl w:val="17F22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8575D2D"/>
    <w:multiLevelType w:val="multilevel"/>
    <w:tmpl w:val="B6486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B5F6E88"/>
    <w:multiLevelType w:val="hybridMultilevel"/>
    <w:tmpl w:val="3D4878A8"/>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78E4CC0"/>
    <w:multiLevelType w:val="multilevel"/>
    <w:tmpl w:val="F1608C7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95F75F0"/>
    <w:multiLevelType w:val="multilevel"/>
    <w:tmpl w:val="2DE077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9AD256D"/>
    <w:multiLevelType w:val="multilevel"/>
    <w:tmpl w:val="0EE2791C"/>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CD67067"/>
    <w:multiLevelType w:val="hybridMultilevel"/>
    <w:tmpl w:val="ECE6B5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A33B25"/>
    <w:multiLevelType w:val="multilevel"/>
    <w:tmpl w:val="8DDCA7B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DAC7926"/>
    <w:multiLevelType w:val="hybridMultilevel"/>
    <w:tmpl w:val="4CA6F324"/>
    <w:lvl w:ilvl="0" w:tplc="87E4B438">
      <w:start w:val="5"/>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986EE0"/>
    <w:multiLevelType w:val="multilevel"/>
    <w:tmpl w:val="CA0A9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7898037">
    <w:abstractNumId w:val="33"/>
  </w:num>
  <w:num w:numId="2" w16cid:durableId="1041829748">
    <w:abstractNumId w:val="23"/>
  </w:num>
  <w:num w:numId="3" w16cid:durableId="573442531">
    <w:abstractNumId w:val="39"/>
  </w:num>
  <w:num w:numId="4" w16cid:durableId="964390847">
    <w:abstractNumId w:val="3"/>
  </w:num>
  <w:num w:numId="5" w16cid:durableId="935669063">
    <w:abstractNumId w:val="40"/>
  </w:num>
  <w:num w:numId="6" w16cid:durableId="146023547">
    <w:abstractNumId w:val="1"/>
  </w:num>
  <w:num w:numId="7" w16cid:durableId="1838181772">
    <w:abstractNumId w:val="28"/>
  </w:num>
  <w:num w:numId="8" w16cid:durableId="896359707">
    <w:abstractNumId w:val="17"/>
  </w:num>
  <w:num w:numId="9" w16cid:durableId="680552723">
    <w:abstractNumId w:val="4"/>
  </w:num>
  <w:num w:numId="10" w16cid:durableId="449130399">
    <w:abstractNumId w:val="49"/>
  </w:num>
  <w:num w:numId="11" w16cid:durableId="401145995">
    <w:abstractNumId w:val="21"/>
  </w:num>
  <w:num w:numId="12" w16cid:durableId="1498954927">
    <w:abstractNumId w:val="37"/>
  </w:num>
  <w:num w:numId="13" w16cid:durableId="1233007867">
    <w:abstractNumId w:val="38"/>
  </w:num>
  <w:num w:numId="14" w16cid:durableId="398016031">
    <w:abstractNumId w:val="41"/>
  </w:num>
  <w:num w:numId="15" w16cid:durableId="47805592">
    <w:abstractNumId w:val="36"/>
  </w:num>
  <w:num w:numId="16" w16cid:durableId="2095927746">
    <w:abstractNumId w:val="2"/>
  </w:num>
  <w:num w:numId="17" w16cid:durableId="138040754">
    <w:abstractNumId w:val="12"/>
  </w:num>
  <w:num w:numId="18" w16cid:durableId="1534419354">
    <w:abstractNumId w:val="5"/>
  </w:num>
  <w:num w:numId="19" w16cid:durableId="1343899806">
    <w:abstractNumId w:val="18"/>
  </w:num>
  <w:num w:numId="20" w16cid:durableId="1347633213">
    <w:abstractNumId w:val="25"/>
  </w:num>
  <w:num w:numId="21" w16cid:durableId="1338923501">
    <w:abstractNumId w:val="16"/>
  </w:num>
  <w:num w:numId="22" w16cid:durableId="1791702144">
    <w:abstractNumId w:val="24"/>
  </w:num>
  <w:num w:numId="23" w16cid:durableId="1384210452">
    <w:abstractNumId w:val="22"/>
  </w:num>
  <w:num w:numId="24" w16cid:durableId="347296787">
    <w:abstractNumId w:val="42"/>
  </w:num>
  <w:num w:numId="25" w16cid:durableId="359086874">
    <w:abstractNumId w:val="9"/>
  </w:num>
  <w:num w:numId="26" w16cid:durableId="1215850417">
    <w:abstractNumId w:val="47"/>
  </w:num>
  <w:num w:numId="27" w16cid:durableId="1456676597">
    <w:abstractNumId w:val="19"/>
  </w:num>
  <w:num w:numId="28" w16cid:durableId="446126319">
    <w:abstractNumId w:val="0"/>
  </w:num>
  <w:num w:numId="29" w16cid:durableId="1687362229">
    <w:abstractNumId w:val="30"/>
  </w:num>
  <w:num w:numId="30" w16cid:durableId="751001460">
    <w:abstractNumId w:val="6"/>
  </w:num>
  <w:num w:numId="31" w16cid:durableId="1184593883">
    <w:abstractNumId w:val="34"/>
  </w:num>
  <w:num w:numId="32" w16cid:durableId="197402383">
    <w:abstractNumId w:val="35"/>
  </w:num>
  <w:num w:numId="33" w16cid:durableId="222954125">
    <w:abstractNumId w:val="46"/>
  </w:num>
  <w:num w:numId="34" w16cid:durableId="105545185">
    <w:abstractNumId w:val="15"/>
  </w:num>
  <w:num w:numId="35" w16cid:durableId="1257716255">
    <w:abstractNumId w:val="27"/>
  </w:num>
  <w:num w:numId="36" w16cid:durableId="343091603">
    <w:abstractNumId w:val="29"/>
  </w:num>
  <w:num w:numId="37" w16cid:durableId="714043299">
    <w:abstractNumId w:val="7"/>
  </w:num>
  <w:num w:numId="38" w16cid:durableId="887641580">
    <w:abstractNumId w:val="43"/>
  </w:num>
  <w:num w:numId="39" w16cid:durableId="241137685">
    <w:abstractNumId w:val="45"/>
  </w:num>
  <w:num w:numId="40" w16cid:durableId="1316185268">
    <w:abstractNumId w:val="44"/>
  </w:num>
  <w:num w:numId="41" w16cid:durableId="235169248">
    <w:abstractNumId w:val="8"/>
  </w:num>
  <w:num w:numId="42" w16cid:durableId="1610237480">
    <w:abstractNumId w:val="14"/>
  </w:num>
  <w:num w:numId="43" w16cid:durableId="1895659922">
    <w:abstractNumId w:val="32"/>
  </w:num>
  <w:num w:numId="44" w16cid:durableId="724446833">
    <w:abstractNumId w:val="20"/>
  </w:num>
  <w:num w:numId="45" w16cid:durableId="1269579393">
    <w:abstractNumId w:val="13"/>
  </w:num>
  <w:num w:numId="46" w16cid:durableId="1772509563">
    <w:abstractNumId w:val="11"/>
  </w:num>
  <w:num w:numId="47" w16cid:durableId="1642538448">
    <w:abstractNumId w:val="48"/>
  </w:num>
  <w:num w:numId="48" w16cid:durableId="850919474">
    <w:abstractNumId w:val="26"/>
  </w:num>
  <w:num w:numId="49" w16cid:durableId="1744064892">
    <w:abstractNumId w:val="10"/>
  </w:num>
  <w:num w:numId="50" w16cid:durableId="6524124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6A4"/>
    <w:rsid w:val="000227C4"/>
    <w:rsid w:val="0002754C"/>
    <w:rsid w:val="000423DE"/>
    <w:rsid w:val="000470ED"/>
    <w:rsid w:val="00060FF7"/>
    <w:rsid w:val="00064549"/>
    <w:rsid w:val="000754A7"/>
    <w:rsid w:val="00080443"/>
    <w:rsid w:val="00085303"/>
    <w:rsid w:val="000909C4"/>
    <w:rsid w:val="000A4499"/>
    <w:rsid w:val="000D0280"/>
    <w:rsid w:val="000D4275"/>
    <w:rsid w:val="000D75F2"/>
    <w:rsid w:val="000E5A90"/>
    <w:rsid w:val="000E6A86"/>
    <w:rsid w:val="000F0709"/>
    <w:rsid w:val="000F232F"/>
    <w:rsid w:val="00100915"/>
    <w:rsid w:val="00115703"/>
    <w:rsid w:val="00115D13"/>
    <w:rsid w:val="001209D2"/>
    <w:rsid w:val="00135144"/>
    <w:rsid w:val="00147DF5"/>
    <w:rsid w:val="00161EE4"/>
    <w:rsid w:val="00161F03"/>
    <w:rsid w:val="00187D32"/>
    <w:rsid w:val="001A4561"/>
    <w:rsid w:val="001A54A3"/>
    <w:rsid w:val="001B35A8"/>
    <w:rsid w:val="001B65B3"/>
    <w:rsid w:val="001B767B"/>
    <w:rsid w:val="001C016A"/>
    <w:rsid w:val="001D1A69"/>
    <w:rsid w:val="001D4656"/>
    <w:rsid w:val="001D7B23"/>
    <w:rsid w:val="001E0092"/>
    <w:rsid w:val="001E2237"/>
    <w:rsid w:val="001F1721"/>
    <w:rsid w:val="001F2C6D"/>
    <w:rsid w:val="001F4672"/>
    <w:rsid w:val="0020104D"/>
    <w:rsid w:val="00201934"/>
    <w:rsid w:val="00222A65"/>
    <w:rsid w:val="00230AC4"/>
    <w:rsid w:val="00241566"/>
    <w:rsid w:val="002453CF"/>
    <w:rsid w:val="002460CF"/>
    <w:rsid w:val="00253149"/>
    <w:rsid w:val="00271C92"/>
    <w:rsid w:val="00275226"/>
    <w:rsid w:val="002A3249"/>
    <w:rsid w:val="002A34EB"/>
    <w:rsid w:val="002B512F"/>
    <w:rsid w:val="002C0019"/>
    <w:rsid w:val="002C183F"/>
    <w:rsid w:val="002C276E"/>
    <w:rsid w:val="002C3168"/>
    <w:rsid w:val="002C56AA"/>
    <w:rsid w:val="002D2B73"/>
    <w:rsid w:val="002F486A"/>
    <w:rsid w:val="00301BF5"/>
    <w:rsid w:val="0030550B"/>
    <w:rsid w:val="00311FE2"/>
    <w:rsid w:val="00312020"/>
    <w:rsid w:val="00324F5C"/>
    <w:rsid w:val="00337155"/>
    <w:rsid w:val="00343F9E"/>
    <w:rsid w:val="00351091"/>
    <w:rsid w:val="00357FB1"/>
    <w:rsid w:val="003641B5"/>
    <w:rsid w:val="0037214D"/>
    <w:rsid w:val="00381358"/>
    <w:rsid w:val="00382182"/>
    <w:rsid w:val="00387D1B"/>
    <w:rsid w:val="0039309E"/>
    <w:rsid w:val="00396C4C"/>
    <w:rsid w:val="003A7A3F"/>
    <w:rsid w:val="003C0E11"/>
    <w:rsid w:val="003D0754"/>
    <w:rsid w:val="003E0A1F"/>
    <w:rsid w:val="003E45B2"/>
    <w:rsid w:val="003F0C5A"/>
    <w:rsid w:val="0041058E"/>
    <w:rsid w:val="00424140"/>
    <w:rsid w:val="00431BC2"/>
    <w:rsid w:val="004404D2"/>
    <w:rsid w:val="00440842"/>
    <w:rsid w:val="0044089A"/>
    <w:rsid w:val="0045179B"/>
    <w:rsid w:val="00471102"/>
    <w:rsid w:val="004804F8"/>
    <w:rsid w:val="00483B6B"/>
    <w:rsid w:val="004936A4"/>
    <w:rsid w:val="00493F83"/>
    <w:rsid w:val="00494418"/>
    <w:rsid w:val="004B1CCB"/>
    <w:rsid w:val="004B669E"/>
    <w:rsid w:val="004B6DE1"/>
    <w:rsid w:val="004C15D3"/>
    <w:rsid w:val="004C4651"/>
    <w:rsid w:val="004D06F0"/>
    <w:rsid w:val="004D1F71"/>
    <w:rsid w:val="004E21B5"/>
    <w:rsid w:val="004E2E02"/>
    <w:rsid w:val="004E4834"/>
    <w:rsid w:val="004E5E34"/>
    <w:rsid w:val="004F46A1"/>
    <w:rsid w:val="0050301E"/>
    <w:rsid w:val="00505E8A"/>
    <w:rsid w:val="00513345"/>
    <w:rsid w:val="005204D2"/>
    <w:rsid w:val="00527AD9"/>
    <w:rsid w:val="005301A2"/>
    <w:rsid w:val="005341ED"/>
    <w:rsid w:val="005550EC"/>
    <w:rsid w:val="00557F81"/>
    <w:rsid w:val="00561BFE"/>
    <w:rsid w:val="00562F74"/>
    <w:rsid w:val="00571E8B"/>
    <w:rsid w:val="00572511"/>
    <w:rsid w:val="0057444B"/>
    <w:rsid w:val="0058189D"/>
    <w:rsid w:val="005866A5"/>
    <w:rsid w:val="00596244"/>
    <w:rsid w:val="005A0DCC"/>
    <w:rsid w:val="005A57CD"/>
    <w:rsid w:val="005B5A9E"/>
    <w:rsid w:val="005D2829"/>
    <w:rsid w:val="005E1D44"/>
    <w:rsid w:val="005F65DC"/>
    <w:rsid w:val="006016DF"/>
    <w:rsid w:val="006025A5"/>
    <w:rsid w:val="00607FFB"/>
    <w:rsid w:val="00627AFE"/>
    <w:rsid w:val="00631AE6"/>
    <w:rsid w:val="0064461D"/>
    <w:rsid w:val="00652C3B"/>
    <w:rsid w:val="00654EFF"/>
    <w:rsid w:val="00671511"/>
    <w:rsid w:val="006734A5"/>
    <w:rsid w:val="00682AFE"/>
    <w:rsid w:val="006A6A81"/>
    <w:rsid w:val="006B2882"/>
    <w:rsid w:val="006D0CDB"/>
    <w:rsid w:val="006D0DE7"/>
    <w:rsid w:val="006D61A0"/>
    <w:rsid w:val="006D7354"/>
    <w:rsid w:val="006E5313"/>
    <w:rsid w:val="006F2CF7"/>
    <w:rsid w:val="006F3280"/>
    <w:rsid w:val="006F729F"/>
    <w:rsid w:val="00703260"/>
    <w:rsid w:val="00705D57"/>
    <w:rsid w:val="007158DF"/>
    <w:rsid w:val="00723723"/>
    <w:rsid w:val="00752F95"/>
    <w:rsid w:val="0075360F"/>
    <w:rsid w:val="007563D9"/>
    <w:rsid w:val="0075790C"/>
    <w:rsid w:val="00764875"/>
    <w:rsid w:val="007775D2"/>
    <w:rsid w:val="007819BC"/>
    <w:rsid w:val="00781DD2"/>
    <w:rsid w:val="00793122"/>
    <w:rsid w:val="00793D34"/>
    <w:rsid w:val="007A5CEF"/>
    <w:rsid w:val="007C2165"/>
    <w:rsid w:val="007D1F43"/>
    <w:rsid w:val="007E0679"/>
    <w:rsid w:val="007E0788"/>
    <w:rsid w:val="007F1FFC"/>
    <w:rsid w:val="00805B5D"/>
    <w:rsid w:val="00823D53"/>
    <w:rsid w:val="0085190B"/>
    <w:rsid w:val="00855C68"/>
    <w:rsid w:val="008618E0"/>
    <w:rsid w:val="00867176"/>
    <w:rsid w:val="00873D78"/>
    <w:rsid w:val="008777C2"/>
    <w:rsid w:val="00886E7A"/>
    <w:rsid w:val="008B055D"/>
    <w:rsid w:val="008B191D"/>
    <w:rsid w:val="008B4613"/>
    <w:rsid w:val="008B717C"/>
    <w:rsid w:val="008C186C"/>
    <w:rsid w:val="008E24DF"/>
    <w:rsid w:val="008F31C4"/>
    <w:rsid w:val="008F32BC"/>
    <w:rsid w:val="008F52D4"/>
    <w:rsid w:val="008F74F2"/>
    <w:rsid w:val="00902ADA"/>
    <w:rsid w:val="0091015A"/>
    <w:rsid w:val="00910822"/>
    <w:rsid w:val="00911AC7"/>
    <w:rsid w:val="0092605D"/>
    <w:rsid w:val="0093657C"/>
    <w:rsid w:val="00943D76"/>
    <w:rsid w:val="00944A87"/>
    <w:rsid w:val="00953E4B"/>
    <w:rsid w:val="00973C55"/>
    <w:rsid w:val="00984A24"/>
    <w:rsid w:val="009875F7"/>
    <w:rsid w:val="00996CE7"/>
    <w:rsid w:val="009A1110"/>
    <w:rsid w:val="009A17FD"/>
    <w:rsid w:val="009A2BDB"/>
    <w:rsid w:val="009A5359"/>
    <w:rsid w:val="009B5FF5"/>
    <w:rsid w:val="009C0CFE"/>
    <w:rsid w:val="009C1424"/>
    <w:rsid w:val="009C30D9"/>
    <w:rsid w:val="009C3314"/>
    <w:rsid w:val="009C592B"/>
    <w:rsid w:val="009E58F9"/>
    <w:rsid w:val="009E5E50"/>
    <w:rsid w:val="00A07E48"/>
    <w:rsid w:val="00A15C12"/>
    <w:rsid w:val="00A22CF0"/>
    <w:rsid w:val="00A3642F"/>
    <w:rsid w:val="00A416F5"/>
    <w:rsid w:val="00A4190B"/>
    <w:rsid w:val="00A424A6"/>
    <w:rsid w:val="00A47821"/>
    <w:rsid w:val="00A50AD0"/>
    <w:rsid w:val="00A725C7"/>
    <w:rsid w:val="00A74A37"/>
    <w:rsid w:val="00A775CC"/>
    <w:rsid w:val="00A8236F"/>
    <w:rsid w:val="00A83D51"/>
    <w:rsid w:val="00A85E06"/>
    <w:rsid w:val="00AA17E9"/>
    <w:rsid w:val="00AB472F"/>
    <w:rsid w:val="00AB63A1"/>
    <w:rsid w:val="00AC3F39"/>
    <w:rsid w:val="00AD1FEA"/>
    <w:rsid w:val="00AD3378"/>
    <w:rsid w:val="00AF2589"/>
    <w:rsid w:val="00B02EB9"/>
    <w:rsid w:val="00B15EA3"/>
    <w:rsid w:val="00B354D7"/>
    <w:rsid w:val="00B40A0E"/>
    <w:rsid w:val="00B47720"/>
    <w:rsid w:val="00B536EE"/>
    <w:rsid w:val="00B64A57"/>
    <w:rsid w:val="00B76F3F"/>
    <w:rsid w:val="00B847C8"/>
    <w:rsid w:val="00B85118"/>
    <w:rsid w:val="00B857C5"/>
    <w:rsid w:val="00B85928"/>
    <w:rsid w:val="00B85E04"/>
    <w:rsid w:val="00BA013B"/>
    <w:rsid w:val="00BA17F5"/>
    <w:rsid w:val="00BA3BD7"/>
    <w:rsid w:val="00BB3EEF"/>
    <w:rsid w:val="00BD5760"/>
    <w:rsid w:val="00BE6209"/>
    <w:rsid w:val="00C03A01"/>
    <w:rsid w:val="00C13AD1"/>
    <w:rsid w:val="00C25EB2"/>
    <w:rsid w:val="00C40F05"/>
    <w:rsid w:val="00C57A91"/>
    <w:rsid w:val="00C65484"/>
    <w:rsid w:val="00C679B8"/>
    <w:rsid w:val="00C748AE"/>
    <w:rsid w:val="00C75129"/>
    <w:rsid w:val="00C8149B"/>
    <w:rsid w:val="00C8765F"/>
    <w:rsid w:val="00CA1479"/>
    <w:rsid w:val="00CC38F2"/>
    <w:rsid w:val="00CC6B6A"/>
    <w:rsid w:val="00CE4844"/>
    <w:rsid w:val="00D009A6"/>
    <w:rsid w:val="00D00A5F"/>
    <w:rsid w:val="00D02E57"/>
    <w:rsid w:val="00D276E7"/>
    <w:rsid w:val="00D3043B"/>
    <w:rsid w:val="00D32265"/>
    <w:rsid w:val="00D330D6"/>
    <w:rsid w:val="00D36CBC"/>
    <w:rsid w:val="00D442BE"/>
    <w:rsid w:val="00D50E46"/>
    <w:rsid w:val="00D55A8D"/>
    <w:rsid w:val="00D55CE9"/>
    <w:rsid w:val="00D56C39"/>
    <w:rsid w:val="00D7067F"/>
    <w:rsid w:val="00D87A31"/>
    <w:rsid w:val="00DB1799"/>
    <w:rsid w:val="00DD32FF"/>
    <w:rsid w:val="00DE1936"/>
    <w:rsid w:val="00DE244E"/>
    <w:rsid w:val="00E3220E"/>
    <w:rsid w:val="00E343B2"/>
    <w:rsid w:val="00E355D4"/>
    <w:rsid w:val="00E36D8D"/>
    <w:rsid w:val="00E4481A"/>
    <w:rsid w:val="00E45B2D"/>
    <w:rsid w:val="00E731EE"/>
    <w:rsid w:val="00E74ABF"/>
    <w:rsid w:val="00E776E5"/>
    <w:rsid w:val="00E82588"/>
    <w:rsid w:val="00E921D8"/>
    <w:rsid w:val="00EA29C7"/>
    <w:rsid w:val="00EA3906"/>
    <w:rsid w:val="00EC3B48"/>
    <w:rsid w:val="00EE208E"/>
    <w:rsid w:val="00EF153E"/>
    <w:rsid w:val="00EF5DB9"/>
    <w:rsid w:val="00F05F19"/>
    <w:rsid w:val="00F10CE0"/>
    <w:rsid w:val="00F14595"/>
    <w:rsid w:val="00F36A92"/>
    <w:rsid w:val="00F63957"/>
    <w:rsid w:val="00F64556"/>
    <w:rsid w:val="00F72DDE"/>
    <w:rsid w:val="00F904E7"/>
    <w:rsid w:val="00F957F7"/>
    <w:rsid w:val="00FD5503"/>
    <w:rsid w:val="00FE698D"/>
    <w:rsid w:val="00FE7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4BAFE"/>
  <w15:docId w15:val="{1404DFC2-E8D1-403F-BCA8-9D0621F4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E46"/>
  </w:style>
  <w:style w:type="paragraph" w:styleId="Heading1">
    <w:name w:val="heading 1"/>
    <w:basedOn w:val="Normal"/>
    <w:next w:val="Normal"/>
    <w:link w:val="Heading1Char"/>
    <w:uiPriority w:val="9"/>
    <w:qFormat/>
    <w:rsid w:val="00D50E46"/>
    <w:pPr>
      <w:keepNext/>
      <w:keepLines/>
      <w:spacing w:before="320" w:after="0" w:line="240" w:lineRule="auto"/>
      <w:outlineLvl w:val="0"/>
    </w:pPr>
    <w:rPr>
      <w:rFonts w:asciiTheme="majorHAnsi" w:eastAsiaTheme="majorEastAsia" w:hAnsiTheme="majorHAnsi" w:cstheme="majorBidi"/>
      <w:color w:val="6B911C" w:themeColor="accent1" w:themeShade="BF"/>
      <w:sz w:val="30"/>
      <w:szCs w:val="30"/>
    </w:rPr>
  </w:style>
  <w:style w:type="paragraph" w:styleId="Heading2">
    <w:name w:val="heading 2"/>
    <w:basedOn w:val="Normal"/>
    <w:next w:val="Normal"/>
    <w:link w:val="Heading2Char"/>
    <w:uiPriority w:val="9"/>
    <w:unhideWhenUsed/>
    <w:qFormat/>
    <w:rsid w:val="00D50E46"/>
    <w:pPr>
      <w:keepNext/>
      <w:keepLines/>
      <w:spacing w:before="40" w:after="0" w:line="240" w:lineRule="auto"/>
      <w:outlineLvl w:val="1"/>
    </w:pPr>
    <w:rPr>
      <w:rFonts w:asciiTheme="majorHAnsi" w:eastAsiaTheme="majorEastAsia" w:hAnsiTheme="majorHAnsi" w:cstheme="majorBidi"/>
      <w:color w:val="3E7718" w:themeColor="accent2" w:themeShade="BF"/>
      <w:sz w:val="28"/>
      <w:szCs w:val="28"/>
    </w:rPr>
  </w:style>
  <w:style w:type="paragraph" w:styleId="Heading3">
    <w:name w:val="heading 3"/>
    <w:basedOn w:val="Normal"/>
    <w:next w:val="Normal"/>
    <w:link w:val="Heading3Char"/>
    <w:uiPriority w:val="9"/>
    <w:unhideWhenUsed/>
    <w:qFormat/>
    <w:rsid w:val="00D50E46"/>
    <w:pPr>
      <w:keepNext/>
      <w:keepLines/>
      <w:spacing w:before="40" w:after="0" w:line="240" w:lineRule="auto"/>
      <w:outlineLvl w:val="2"/>
    </w:pPr>
    <w:rPr>
      <w:rFonts w:asciiTheme="majorHAnsi" w:eastAsiaTheme="majorEastAsia" w:hAnsiTheme="majorHAnsi" w:cstheme="majorBidi"/>
      <w:color w:val="6C643F" w:themeColor="accent6" w:themeShade="BF"/>
      <w:sz w:val="26"/>
      <w:szCs w:val="26"/>
    </w:rPr>
  </w:style>
  <w:style w:type="paragraph" w:styleId="Heading4">
    <w:name w:val="heading 4"/>
    <w:basedOn w:val="Normal"/>
    <w:next w:val="Normal"/>
    <w:link w:val="Heading4Char"/>
    <w:uiPriority w:val="9"/>
    <w:unhideWhenUsed/>
    <w:qFormat/>
    <w:rsid w:val="00D50E46"/>
    <w:pPr>
      <w:keepNext/>
      <w:keepLines/>
      <w:spacing w:before="40" w:after="0"/>
      <w:outlineLvl w:val="3"/>
    </w:pPr>
    <w:rPr>
      <w:rFonts w:asciiTheme="majorHAnsi" w:eastAsiaTheme="majorEastAsia" w:hAnsiTheme="majorHAnsi" w:cstheme="majorBidi"/>
      <w:i/>
      <w:iCs/>
      <w:color w:val="922213" w:themeColor="accent5" w:themeShade="BF"/>
      <w:sz w:val="25"/>
      <w:szCs w:val="25"/>
    </w:rPr>
  </w:style>
  <w:style w:type="paragraph" w:styleId="Heading5">
    <w:name w:val="heading 5"/>
    <w:basedOn w:val="Normal"/>
    <w:next w:val="Normal"/>
    <w:link w:val="Heading5Char"/>
    <w:uiPriority w:val="9"/>
    <w:semiHidden/>
    <w:unhideWhenUsed/>
    <w:qFormat/>
    <w:rsid w:val="00D50E46"/>
    <w:pPr>
      <w:keepNext/>
      <w:keepLines/>
      <w:spacing w:before="40" w:after="0"/>
      <w:outlineLvl w:val="4"/>
    </w:pPr>
    <w:rPr>
      <w:rFonts w:asciiTheme="majorHAnsi" w:eastAsiaTheme="majorEastAsia" w:hAnsiTheme="majorHAnsi" w:cstheme="majorBidi"/>
      <w:i/>
      <w:iCs/>
      <w:color w:val="2A5010" w:themeColor="accent2" w:themeShade="80"/>
      <w:sz w:val="24"/>
      <w:szCs w:val="24"/>
    </w:rPr>
  </w:style>
  <w:style w:type="paragraph" w:styleId="Heading6">
    <w:name w:val="heading 6"/>
    <w:basedOn w:val="Normal"/>
    <w:next w:val="Normal"/>
    <w:link w:val="Heading6Char"/>
    <w:uiPriority w:val="9"/>
    <w:semiHidden/>
    <w:unhideWhenUsed/>
    <w:qFormat/>
    <w:rsid w:val="00D50E46"/>
    <w:pPr>
      <w:keepNext/>
      <w:keepLines/>
      <w:spacing w:before="40" w:after="0"/>
      <w:outlineLvl w:val="5"/>
    </w:pPr>
    <w:rPr>
      <w:rFonts w:asciiTheme="majorHAnsi" w:eastAsiaTheme="majorEastAsia" w:hAnsiTheme="majorHAnsi" w:cstheme="majorBidi"/>
      <w:i/>
      <w:iCs/>
      <w:color w:val="48432A" w:themeColor="accent6" w:themeShade="80"/>
      <w:sz w:val="23"/>
      <w:szCs w:val="23"/>
    </w:rPr>
  </w:style>
  <w:style w:type="paragraph" w:styleId="Heading7">
    <w:name w:val="heading 7"/>
    <w:basedOn w:val="Normal"/>
    <w:next w:val="Normal"/>
    <w:link w:val="Heading7Char"/>
    <w:uiPriority w:val="9"/>
    <w:semiHidden/>
    <w:unhideWhenUsed/>
    <w:qFormat/>
    <w:rsid w:val="00D50E46"/>
    <w:pPr>
      <w:keepNext/>
      <w:keepLines/>
      <w:spacing w:before="40" w:after="0"/>
      <w:outlineLvl w:val="6"/>
    </w:pPr>
    <w:rPr>
      <w:rFonts w:asciiTheme="majorHAnsi" w:eastAsiaTheme="majorEastAsia" w:hAnsiTheme="majorHAnsi" w:cstheme="majorBidi"/>
      <w:color w:val="486113" w:themeColor="accent1" w:themeShade="80"/>
    </w:rPr>
  </w:style>
  <w:style w:type="paragraph" w:styleId="Heading8">
    <w:name w:val="heading 8"/>
    <w:basedOn w:val="Normal"/>
    <w:next w:val="Normal"/>
    <w:link w:val="Heading8Char"/>
    <w:uiPriority w:val="9"/>
    <w:semiHidden/>
    <w:unhideWhenUsed/>
    <w:qFormat/>
    <w:rsid w:val="00D50E46"/>
    <w:pPr>
      <w:keepNext/>
      <w:keepLines/>
      <w:spacing w:before="40" w:after="0"/>
      <w:outlineLvl w:val="7"/>
    </w:pPr>
    <w:rPr>
      <w:rFonts w:asciiTheme="majorHAnsi" w:eastAsiaTheme="majorEastAsia" w:hAnsiTheme="majorHAnsi" w:cstheme="majorBidi"/>
      <w:color w:val="2A5010" w:themeColor="accent2" w:themeShade="80"/>
      <w:sz w:val="21"/>
      <w:szCs w:val="21"/>
    </w:rPr>
  </w:style>
  <w:style w:type="paragraph" w:styleId="Heading9">
    <w:name w:val="heading 9"/>
    <w:basedOn w:val="Normal"/>
    <w:next w:val="Normal"/>
    <w:link w:val="Heading9Char"/>
    <w:uiPriority w:val="9"/>
    <w:semiHidden/>
    <w:unhideWhenUsed/>
    <w:qFormat/>
    <w:rsid w:val="00D50E46"/>
    <w:pPr>
      <w:keepNext/>
      <w:keepLines/>
      <w:spacing w:before="40" w:after="0"/>
      <w:outlineLvl w:val="8"/>
    </w:pPr>
    <w:rPr>
      <w:rFonts w:asciiTheme="majorHAnsi" w:eastAsiaTheme="majorEastAsia" w:hAnsiTheme="majorHAnsi" w:cstheme="majorBidi"/>
      <w:color w:val="48432A"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0E46"/>
    <w:pPr>
      <w:spacing w:after="0" w:line="240" w:lineRule="auto"/>
      <w:contextualSpacing/>
    </w:pPr>
    <w:rPr>
      <w:rFonts w:asciiTheme="majorHAnsi" w:eastAsiaTheme="majorEastAsia" w:hAnsiTheme="majorHAnsi" w:cstheme="majorBidi"/>
      <w:color w:val="6B911C" w:themeColor="accent1" w:themeShade="BF"/>
      <w:spacing w:val="-10"/>
      <w:sz w:val="52"/>
      <w:szCs w:val="52"/>
    </w:rPr>
  </w:style>
  <w:style w:type="paragraph" w:styleId="ListParagraph">
    <w:name w:val="List Paragraph"/>
    <w:basedOn w:val="Normal"/>
    <w:uiPriority w:val="34"/>
    <w:qFormat/>
    <w:rsid w:val="00096A91"/>
    <w:pPr>
      <w:ind w:left="720"/>
      <w:contextualSpacing/>
    </w:pPr>
  </w:style>
  <w:style w:type="table" w:styleId="TableGrid">
    <w:name w:val="Table Grid"/>
    <w:basedOn w:val="TableNormal"/>
    <w:uiPriority w:val="39"/>
    <w:rsid w:val="00D16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50E46"/>
    <w:rPr>
      <w:rFonts w:asciiTheme="majorHAnsi" w:eastAsiaTheme="majorEastAsia" w:hAnsiTheme="majorHAnsi" w:cstheme="majorBidi"/>
      <w:color w:val="6B911C" w:themeColor="accent1" w:themeShade="BF"/>
      <w:sz w:val="30"/>
      <w:szCs w:val="30"/>
    </w:rPr>
  </w:style>
  <w:style w:type="character" w:customStyle="1" w:styleId="Heading2Char">
    <w:name w:val="Heading 2 Char"/>
    <w:basedOn w:val="DefaultParagraphFont"/>
    <w:link w:val="Heading2"/>
    <w:uiPriority w:val="9"/>
    <w:rsid w:val="00D50E46"/>
    <w:rPr>
      <w:rFonts w:asciiTheme="majorHAnsi" w:eastAsiaTheme="majorEastAsia" w:hAnsiTheme="majorHAnsi" w:cstheme="majorBidi"/>
      <w:color w:val="3E7718" w:themeColor="accent2" w:themeShade="BF"/>
      <w:sz w:val="28"/>
      <w:szCs w:val="28"/>
    </w:rPr>
  </w:style>
  <w:style w:type="character" w:customStyle="1" w:styleId="Heading3Char">
    <w:name w:val="Heading 3 Char"/>
    <w:basedOn w:val="DefaultParagraphFont"/>
    <w:link w:val="Heading3"/>
    <w:uiPriority w:val="9"/>
    <w:rsid w:val="00D50E46"/>
    <w:rPr>
      <w:rFonts w:asciiTheme="majorHAnsi" w:eastAsiaTheme="majorEastAsia" w:hAnsiTheme="majorHAnsi" w:cstheme="majorBidi"/>
      <w:color w:val="6C643F" w:themeColor="accent6" w:themeShade="BF"/>
      <w:sz w:val="26"/>
      <w:szCs w:val="26"/>
    </w:rPr>
  </w:style>
  <w:style w:type="character" w:customStyle="1" w:styleId="Heading4Char">
    <w:name w:val="Heading 4 Char"/>
    <w:basedOn w:val="DefaultParagraphFont"/>
    <w:link w:val="Heading4"/>
    <w:uiPriority w:val="9"/>
    <w:rsid w:val="00D50E46"/>
    <w:rPr>
      <w:rFonts w:asciiTheme="majorHAnsi" w:eastAsiaTheme="majorEastAsia" w:hAnsiTheme="majorHAnsi" w:cstheme="majorBidi"/>
      <w:i/>
      <w:iCs/>
      <w:color w:val="922213" w:themeColor="accent5" w:themeShade="BF"/>
      <w:sz w:val="25"/>
      <w:szCs w:val="25"/>
    </w:rPr>
  </w:style>
  <w:style w:type="character" w:customStyle="1" w:styleId="Heading5Char">
    <w:name w:val="Heading 5 Char"/>
    <w:basedOn w:val="DefaultParagraphFont"/>
    <w:link w:val="Heading5"/>
    <w:uiPriority w:val="9"/>
    <w:semiHidden/>
    <w:rsid w:val="00D50E46"/>
    <w:rPr>
      <w:rFonts w:asciiTheme="majorHAnsi" w:eastAsiaTheme="majorEastAsia" w:hAnsiTheme="majorHAnsi" w:cstheme="majorBidi"/>
      <w:i/>
      <w:iCs/>
      <w:color w:val="2A5010" w:themeColor="accent2" w:themeShade="80"/>
      <w:sz w:val="24"/>
      <w:szCs w:val="24"/>
    </w:rPr>
  </w:style>
  <w:style w:type="character" w:customStyle="1" w:styleId="Heading6Char">
    <w:name w:val="Heading 6 Char"/>
    <w:basedOn w:val="DefaultParagraphFont"/>
    <w:link w:val="Heading6"/>
    <w:uiPriority w:val="9"/>
    <w:semiHidden/>
    <w:rsid w:val="00D50E46"/>
    <w:rPr>
      <w:rFonts w:asciiTheme="majorHAnsi" w:eastAsiaTheme="majorEastAsia" w:hAnsiTheme="majorHAnsi" w:cstheme="majorBidi"/>
      <w:i/>
      <w:iCs/>
      <w:color w:val="48432A" w:themeColor="accent6" w:themeShade="80"/>
      <w:sz w:val="23"/>
      <w:szCs w:val="23"/>
    </w:rPr>
  </w:style>
  <w:style w:type="character" w:customStyle="1" w:styleId="Heading7Char">
    <w:name w:val="Heading 7 Char"/>
    <w:basedOn w:val="DefaultParagraphFont"/>
    <w:link w:val="Heading7"/>
    <w:uiPriority w:val="9"/>
    <w:semiHidden/>
    <w:rsid w:val="00D50E46"/>
    <w:rPr>
      <w:rFonts w:asciiTheme="majorHAnsi" w:eastAsiaTheme="majorEastAsia" w:hAnsiTheme="majorHAnsi" w:cstheme="majorBidi"/>
      <w:color w:val="486113" w:themeColor="accent1" w:themeShade="80"/>
    </w:rPr>
  </w:style>
  <w:style w:type="character" w:customStyle="1" w:styleId="Heading8Char">
    <w:name w:val="Heading 8 Char"/>
    <w:basedOn w:val="DefaultParagraphFont"/>
    <w:link w:val="Heading8"/>
    <w:uiPriority w:val="9"/>
    <w:semiHidden/>
    <w:rsid w:val="00D50E46"/>
    <w:rPr>
      <w:rFonts w:asciiTheme="majorHAnsi" w:eastAsiaTheme="majorEastAsia" w:hAnsiTheme="majorHAnsi" w:cstheme="majorBidi"/>
      <w:color w:val="2A5010" w:themeColor="accent2" w:themeShade="80"/>
      <w:sz w:val="21"/>
      <w:szCs w:val="21"/>
    </w:rPr>
  </w:style>
  <w:style w:type="character" w:customStyle="1" w:styleId="Heading9Char">
    <w:name w:val="Heading 9 Char"/>
    <w:basedOn w:val="DefaultParagraphFont"/>
    <w:link w:val="Heading9"/>
    <w:uiPriority w:val="9"/>
    <w:semiHidden/>
    <w:rsid w:val="00D50E46"/>
    <w:rPr>
      <w:rFonts w:asciiTheme="majorHAnsi" w:eastAsiaTheme="majorEastAsia" w:hAnsiTheme="majorHAnsi" w:cstheme="majorBidi"/>
      <w:color w:val="48432A" w:themeColor="accent6" w:themeShade="80"/>
    </w:rPr>
  </w:style>
  <w:style w:type="paragraph" w:styleId="Caption">
    <w:name w:val="caption"/>
    <w:basedOn w:val="Normal"/>
    <w:next w:val="Normal"/>
    <w:uiPriority w:val="35"/>
    <w:semiHidden/>
    <w:unhideWhenUsed/>
    <w:qFormat/>
    <w:rsid w:val="00D50E46"/>
    <w:pPr>
      <w:spacing w:line="240" w:lineRule="auto"/>
    </w:pPr>
    <w:rPr>
      <w:b/>
      <w:bCs/>
      <w:smallCaps/>
      <w:color w:val="90C226" w:themeColor="accent1"/>
      <w:spacing w:val="6"/>
    </w:rPr>
  </w:style>
  <w:style w:type="character" w:customStyle="1" w:styleId="TitleChar">
    <w:name w:val="Title Char"/>
    <w:basedOn w:val="DefaultParagraphFont"/>
    <w:link w:val="Title"/>
    <w:uiPriority w:val="10"/>
    <w:rsid w:val="00D50E46"/>
    <w:rPr>
      <w:rFonts w:asciiTheme="majorHAnsi" w:eastAsiaTheme="majorEastAsia" w:hAnsiTheme="majorHAnsi" w:cstheme="majorBidi"/>
      <w:color w:val="6B911C" w:themeColor="accent1" w:themeShade="BF"/>
      <w:spacing w:val="-10"/>
      <w:sz w:val="52"/>
      <w:szCs w:val="52"/>
    </w:rPr>
  </w:style>
  <w:style w:type="paragraph" w:styleId="Subtitle">
    <w:name w:val="Subtitle"/>
    <w:basedOn w:val="Normal"/>
    <w:next w:val="Normal"/>
    <w:link w:val="SubtitleChar"/>
    <w:uiPriority w:val="11"/>
    <w:qFormat/>
    <w:rsid w:val="00D50E46"/>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D50E46"/>
    <w:rPr>
      <w:rFonts w:asciiTheme="majorHAnsi" w:eastAsiaTheme="majorEastAsia" w:hAnsiTheme="majorHAnsi" w:cstheme="majorBidi"/>
    </w:rPr>
  </w:style>
  <w:style w:type="character" w:styleId="Strong">
    <w:name w:val="Strong"/>
    <w:basedOn w:val="DefaultParagraphFont"/>
    <w:uiPriority w:val="22"/>
    <w:qFormat/>
    <w:rsid w:val="00D50E46"/>
    <w:rPr>
      <w:b/>
      <w:bCs/>
    </w:rPr>
  </w:style>
  <w:style w:type="character" w:styleId="Emphasis">
    <w:name w:val="Emphasis"/>
    <w:basedOn w:val="DefaultParagraphFont"/>
    <w:uiPriority w:val="20"/>
    <w:qFormat/>
    <w:rsid w:val="00D50E46"/>
    <w:rPr>
      <w:i/>
      <w:iCs/>
    </w:rPr>
  </w:style>
  <w:style w:type="paragraph" w:styleId="NoSpacing">
    <w:name w:val="No Spacing"/>
    <w:link w:val="NoSpacingChar"/>
    <w:uiPriority w:val="1"/>
    <w:qFormat/>
    <w:rsid w:val="00D50E46"/>
    <w:pPr>
      <w:spacing w:after="0" w:line="240" w:lineRule="auto"/>
    </w:pPr>
  </w:style>
  <w:style w:type="paragraph" w:styleId="Quote">
    <w:name w:val="Quote"/>
    <w:basedOn w:val="Normal"/>
    <w:next w:val="Normal"/>
    <w:link w:val="QuoteChar"/>
    <w:uiPriority w:val="29"/>
    <w:qFormat/>
    <w:rsid w:val="00D50E46"/>
    <w:pPr>
      <w:spacing w:before="120"/>
      <w:ind w:left="720" w:right="720"/>
      <w:jc w:val="center"/>
    </w:pPr>
    <w:rPr>
      <w:i/>
      <w:iCs/>
    </w:rPr>
  </w:style>
  <w:style w:type="character" w:customStyle="1" w:styleId="QuoteChar">
    <w:name w:val="Quote Char"/>
    <w:basedOn w:val="DefaultParagraphFont"/>
    <w:link w:val="Quote"/>
    <w:uiPriority w:val="29"/>
    <w:rsid w:val="00D50E46"/>
    <w:rPr>
      <w:i/>
      <w:iCs/>
    </w:rPr>
  </w:style>
  <w:style w:type="paragraph" w:styleId="IntenseQuote">
    <w:name w:val="Intense Quote"/>
    <w:basedOn w:val="Normal"/>
    <w:next w:val="Normal"/>
    <w:link w:val="IntenseQuoteChar"/>
    <w:uiPriority w:val="30"/>
    <w:qFormat/>
    <w:rsid w:val="00D50E46"/>
    <w:pPr>
      <w:spacing w:before="120" w:line="300" w:lineRule="auto"/>
      <w:ind w:left="576" w:right="576"/>
      <w:jc w:val="center"/>
    </w:pPr>
    <w:rPr>
      <w:rFonts w:asciiTheme="majorHAnsi" w:eastAsiaTheme="majorEastAsia" w:hAnsiTheme="majorHAnsi" w:cstheme="majorBidi"/>
      <w:color w:val="90C226" w:themeColor="accent1"/>
      <w:sz w:val="24"/>
      <w:szCs w:val="24"/>
    </w:rPr>
  </w:style>
  <w:style w:type="character" w:customStyle="1" w:styleId="IntenseQuoteChar">
    <w:name w:val="Intense Quote Char"/>
    <w:basedOn w:val="DefaultParagraphFont"/>
    <w:link w:val="IntenseQuote"/>
    <w:uiPriority w:val="30"/>
    <w:rsid w:val="00D50E46"/>
    <w:rPr>
      <w:rFonts w:asciiTheme="majorHAnsi" w:eastAsiaTheme="majorEastAsia" w:hAnsiTheme="majorHAnsi" w:cstheme="majorBidi"/>
      <w:color w:val="90C226" w:themeColor="accent1"/>
      <w:sz w:val="24"/>
      <w:szCs w:val="24"/>
    </w:rPr>
  </w:style>
  <w:style w:type="character" w:styleId="SubtleEmphasis">
    <w:name w:val="Subtle Emphasis"/>
    <w:basedOn w:val="DefaultParagraphFont"/>
    <w:uiPriority w:val="19"/>
    <w:qFormat/>
    <w:rsid w:val="00D50E46"/>
    <w:rPr>
      <w:i/>
      <w:iCs/>
      <w:color w:val="404040" w:themeColor="text1" w:themeTint="BF"/>
    </w:rPr>
  </w:style>
  <w:style w:type="character" w:styleId="IntenseEmphasis">
    <w:name w:val="Intense Emphasis"/>
    <w:basedOn w:val="DefaultParagraphFont"/>
    <w:uiPriority w:val="21"/>
    <w:qFormat/>
    <w:rsid w:val="00D50E46"/>
    <w:rPr>
      <w:b w:val="0"/>
      <w:bCs w:val="0"/>
      <w:i/>
      <w:iCs/>
      <w:color w:val="90C226" w:themeColor="accent1"/>
    </w:rPr>
  </w:style>
  <w:style w:type="character" w:styleId="SubtleReference">
    <w:name w:val="Subtle Reference"/>
    <w:basedOn w:val="DefaultParagraphFont"/>
    <w:uiPriority w:val="31"/>
    <w:qFormat/>
    <w:rsid w:val="00D50E4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50E46"/>
    <w:rPr>
      <w:b/>
      <w:bCs/>
      <w:smallCaps/>
      <w:color w:val="90C226" w:themeColor="accent1"/>
      <w:spacing w:val="5"/>
      <w:u w:val="single"/>
    </w:rPr>
  </w:style>
  <w:style w:type="character" w:styleId="BookTitle">
    <w:name w:val="Book Title"/>
    <w:basedOn w:val="DefaultParagraphFont"/>
    <w:uiPriority w:val="33"/>
    <w:qFormat/>
    <w:rsid w:val="00D50E46"/>
    <w:rPr>
      <w:b/>
      <w:bCs/>
      <w:smallCaps/>
    </w:rPr>
  </w:style>
  <w:style w:type="paragraph" w:styleId="TOCHeading">
    <w:name w:val="TOC Heading"/>
    <w:basedOn w:val="Heading1"/>
    <w:next w:val="Normal"/>
    <w:uiPriority w:val="39"/>
    <w:semiHidden/>
    <w:unhideWhenUsed/>
    <w:qFormat/>
    <w:rsid w:val="00D50E46"/>
    <w:pPr>
      <w:outlineLvl w:val="9"/>
    </w:pPr>
  </w:style>
  <w:style w:type="paragraph" w:styleId="Header">
    <w:name w:val="header"/>
    <w:basedOn w:val="Normal"/>
    <w:link w:val="HeaderChar"/>
    <w:uiPriority w:val="99"/>
    <w:unhideWhenUsed/>
    <w:rsid w:val="002676F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76F7"/>
  </w:style>
  <w:style w:type="paragraph" w:styleId="Footer">
    <w:name w:val="footer"/>
    <w:basedOn w:val="Normal"/>
    <w:link w:val="FooterChar"/>
    <w:uiPriority w:val="99"/>
    <w:unhideWhenUsed/>
    <w:rsid w:val="002676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76F7"/>
  </w:style>
  <w:style w:type="character" w:styleId="CommentReference">
    <w:name w:val="annotation reference"/>
    <w:basedOn w:val="DefaultParagraphFont"/>
    <w:uiPriority w:val="99"/>
    <w:semiHidden/>
    <w:unhideWhenUsed/>
    <w:rsid w:val="000D0280"/>
    <w:rPr>
      <w:sz w:val="16"/>
      <w:szCs w:val="16"/>
    </w:rPr>
  </w:style>
  <w:style w:type="paragraph" w:styleId="CommentText">
    <w:name w:val="annotation text"/>
    <w:basedOn w:val="Normal"/>
    <w:link w:val="CommentTextChar"/>
    <w:uiPriority w:val="99"/>
    <w:unhideWhenUsed/>
    <w:rsid w:val="000D0280"/>
    <w:pPr>
      <w:spacing w:line="240" w:lineRule="auto"/>
    </w:pPr>
    <w:rPr>
      <w:sz w:val="20"/>
      <w:szCs w:val="20"/>
    </w:rPr>
  </w:style>
  <w:style w:type="character" w:customStyle="1" w:styleId="CommentTextChar">
    <w:name w:val="Comment Text Char"/>
    <w:basedOn w:val="DefaultParagraphFont"/>
    <w:link w:val="CommentText"/>
    <w:uiPriority w:val="99"/>
    <w:rsid w:val="000D0280"/>
    <w:rPr>
      <w:sz w:val="20"/>
      <w:szCs w:val="20"/>
    </w:rPr>
  </w:style>
  <w:style w:type="paragraph" w:styleId="CommentSubject">
    <w:name w:val="annotation subject"/>
    <w:basedOn w:val="CommentText"/>
    <w:next w:val="CommentText"/>
    <w:link w:val="CommentSubjectChar"/>
    <w:uiPriority w:val="99"/>
    <w:semiHidden/>
    <w:unhideWhenUsed/>
    <w:rsid w:val="000D0280"/>
    <w:rPr>
      <w:b/>
      <w:bCs/>
    </w:rPr>
  </w:style>
  <w:style w:type="character" w:customStyle="1" w:styleId="CommentSubjectChar">
    <w:name w:val="Comment Subject Char"/>
    <w:basedOn w:val="CommentTextChar"/>
    <w:link w:val="CommentSubject"/>
    <w:uiPriority w:val="99"/>
    <w:semiHidden/>
    <w:rsid w:val="000D0280"/>
    <w:rPr>
      <w:b/>
      <w:bCs/>
      <w:sz w:val="20"/>
      <w:szCs w:val="20"/>
    </w:rPr>
  </w:style>
  <w:style w:type="paragraph" w:styleId="FootnoteText">
    <w:name w:val="footnote text"/>
    <w:basedOn w:val="Normal"/>
    <w:link w:val="FootnoteTextChar"/>
    <w:uiPriority w:val="99"/>
    <w:unhideWhenUsed/>
    <w:rsid w:val="00EA3906"/>
    <w:pPr>
      <w:spacing w:after="0" w:line="240" w:lineRule="auto"/>
    </w:pPr>
    <w:rPr>
      <w:sz w:val="20"/>
      <w:szCs w:val="20"/>
    </w:rPr>
  </w:style>
  <w:style w:type="character" w:customStyle="1" w:styleId="FootnoteTextChar">
    <w:name w:val="Footnote Text Char"/>
    <w:basedOn w:val="DefaultParagraphFont"/>
    <w:link w:val="FootnoteText"/>
    <w:uiPriority w:val="99"/>
    <w:rsid w:val="00EA3906"/>
    <w:rPr>
      <w:sz w:val="20"/>
      <w:szCs w:val="20"/>
    </w:rPr>
  </w:style>
  <w:style w:type="character" w:styleId="FootnoteReference">
    <w:name w:val="footnote reference"/>
    <w:basedOn w:val="DefaultParagraphFont"/>
    <w:uiPriority w:val="99"/>
    <w:semiHidden/>
    <w:unhideWhenUsed/>
    <w:rsid w:val="00EA3906"/>
    <w:rPr>
      <w:vertAlign w:val="superscript"/>
    </w:rPr>
  </w:style>
  <w:style w:type="paragraph" w:styleId="Revision">
    <w:name w:val="Revision"/>
    <w:hidden/>
    <w:uiPriority w:val="99"/>
    <w:semiHidden/>
    <w:rsid w:val="00911AC7"/>
    <w:pPr>
      <w:spacing w:after="0" w:line="240" w:lineRule="auto"/>
    </w:pPr>
  </w:style>
  <w:style w:type="character" w:customStyle="1" w:styleId="NoSpacingChar">
    <w:name w:val="No Spacing Char"/>
    <w:basedOn w:val="DefaultParagraphFont"/>
    <w:link w:val="NoSpacing"/>
    <w:uiPriority w:val="1"/>
    <w:rsid w:val="002A3249"/>
  </w:style>
  <w:style w:type="paragraph" w:customStyle="1" w:styleId="DecimalAligned">
    <w:name w:val="Decimal Aligned"/>
    <w:basedOn w:val="Normal"/>
    <w:uiPriority w:val="40"/>
    <w:qFormat/>
    <w:rsid w:val="00A47821"/>
    <w:pPr>
      <w:tabs>
        <w:tab w:val="decimal" w:pos="360"/>
      </w:tabs>
      <w:spacing w:after="200" w:line="276" w:lineRule="auto"/>
    </w:pPr>
    <w:rPr>
      <w:rFonts w:cs="Times New Roman"/>
      <w:lang w:val="en-US" w:eastAsia="en-US"/>
    </w:rPr>
  </w:style>
  <w:style w:type="table" w:styleId="LightShading-Accent1">
    <w:name w:val="Light Shading Accent 1"/>
    <w:basedOn w:val="TableNormal"/>
    <w:uiPriority w:val="60"/>
    <w:rsid w:val="00A47821"/>
    <w:pPr>
      <w:spacing w:after="0" w:line="240" w:lineRule="auto"/>
    </w:pPr>
    <w:rPr>
      <w:color w:val="6B911C" w:themeColor="accent1" w:themeShade="BF"/>
      <w:lang w:val="en-US" w:eastAsia="en-US"/>
    </w:rPr>
    <w:tblPr>
      <w:tblStyleRowBandSize w:val="1"/>
      <w:tblStyleColBandSize w:val="1"/>
      <w:tblBorders>
        <w:top w:val="single" w:sz="8" w:space="0" w:color="90C226" w:themeColor="accent1"/>
        <w:bottom w:val="single" w:sz="8" w:space="0" w:color="90C226" w:themeColor="accent1"/>
      </w:tblBorders>
    </w:tblPr>
    <w:tblStylePr w:type="firstRow">
      <w:pPr>
        <w:spacing w:before="0" w:after="0" w:line="240" w:lineRule="auto"/>
      </w:pPr>
      <w:rPr>
        <w:b/>
        <w:bCs/>
      </w:rPr>
      <w:tblPr/>
      <w:tcPr>
        <w:tcBorders>
          <w:top w:val="single" w:sz="8" w:space="0" w:color="90C226" w:themeColor="accent1"/>
          <w:left w:val="nil"/>
          <w:bottom w:val="single" w:sz="8" w:space="0" w:color="90C226" w:themeColor="accent1"/>
          <w:right w:val="nil"/>
          <w:insideH w:val="nil"/>
          <w:insideV w:val="nil"/>
        </w:tcBorders>
      </w:tcPr>
    </w:tblStylePr>
    <w:tblStylePr w:type="lastRow">
      <w:pPr>
        <w:spacing w:before="0" w:after="0" w:line="240" w:lineRule="auto"/>
      </w:pPr>
      <w:rPr>
        <w:b/>
        <w:bCs/>
      </w:rPr>
      <w:tblPr/>
      <w:tcPr>
        <w:tcBorders>
          <w:top w:val="single" w:sz="8" w:space="0" w:color="90C226" w:themeColor="accent1"/>
          <w:left w:val="nil"/>
          <w:bottom w:val="single" w:sz="8" w:space="0" w:color="90C2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3C5" w:themeFill="accent1" w:themeFillTint="3F"/>
      </w:tcPr>
    </w:tblStylePr>
    <w:tblStylePr w:type="band1Horz">
      <w:tblPr/>
      <w:tcPr>
        <w:tcBorders>
          <w:left w:val="nil"/>
          <w:right w:val="nil"/>
          <w:insideH w:val="nil"/>
          <w:insideV w:val="nil"/>
        </w:tcBorders>
        <w:shd w:val="clear" w:color="auto" w:fill="E4F3C5"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4589">
      <w:bodyDiv w:val="1"/>
      <w:marLeft w:val="0"/>
      <w:marRight w:val="0"/>
      <w:marTop w:val="0"/>
      <w:marBottom w:val="0"/>
      <w:divBdr>
        <w:top w:val="none" w:sz="0" w:space="0" w:color="auto"/>
        <w:left w:val="none" w:sz="0" w:space="0" w:color="auto"/>
        <w:bottom w:val="none" w:sz="0" w:space="0" w:color="auto"/>
        <w:right w:val="none" w:sz="0" w:space="0" w:color="auto"/>
      </w:divBdr>
    </w:div>
    <w:div w:id="524178908">
      <w:bodyDiv w:val="1"/>
      <w:marLeft w:val="0"/>
      <w:marRight w:val="0"/>
      <w:marTop w:val="0"/>
      <w:marBottom w:val="0"/>
      <w:divBdr>
        <w:top w:val="none" w:sz="0" w:space="0" w:color="auto"/>
        <w:left w:val="none" w:sz="0" w:space="0" w:color="auto"/>
        <w:bottom w:val="none" w:sz="0" w:space="0" w:color="auto"/>
        <w:right w:val="none" w:sz="0" w:space="0" w:color="auto"/>
      </w:divBdr>
    </w:div>
    <w:div w:id="548883804">
      <w:bodyDiv w:val="1"/>
      <w:marLeft w:val="0"/>
      <w:marRight w:val="0"/>
      <w:marTop w:val="0"/>
      <w:marBottom w:val="0"/>
      <w:divBdr>
        <w:top w:val="none" w:sz="0" w:space="0" w:color="auto"/>
        <w:left w:val="none" w:sz="0" w:space="0" w:color="auto"/>
        <w:bottom w:val="none" w:sz="0" w:space="0" w:color="auto"/>
        <w:right w:val="none" w:sz="0" w:space="0" w:color="auto"/>
      </w:divBdr>
    </w:div>
    <w:div w:id="670302761">
      <w:bodyDiv w:val="1"/>
      <w:marLeft w:val="0"/>
      <w:marRight w:val="0"/>
      <w:marTop w:val="0"/>
      <w:marBottom w:val="0"/>
      <w:divBdr>
        <w:top w:val="none" w:sz="0" w:space="0" w:color="auto"/>
        <w:left w:val="none" w:sz="0" w:space="0" w:color="auto"/>
        <w:bottom w:val="none" w:sz="0" w:space="0" w:color="auto"/>
        <w:right w:val="none" w:sz="0" w:space="0" w:color="auto"/>
      </w:divBdr>
    </w:div>
    <w:div w:id="702050857">
      <w:bodyDiv w:val="1"/>
      <w:marLeft w:val="0"/>
      <w:marRight w:val="0"/>
      <w:marTop w:val="0"/>
      <w:marBottom w:val="0"/>
      <w:divBdr>
        <w:top w:val="none" w:sz="0" w:space="0" w:color="auto"/>
        <w:left w:val="none" w:sz="0" w:space="0" w:color="auto"/>
        <w:bottom w:val="none" w:sz="0" w:space="0" w:color="auto"/>
        <w:right w:val="none" w:sz="0" w:space="0" w:color="auto"/>
      </w:divBdr>
    </w:div>
    <w:div w:id="1231426298">
      <w:bodyDiv w:val="1"/>
      <w:marLeft w:val="0"/>
      <w:marRight w:val="0"/>
      <w:marTop w:val="0"/>
      <w:marBottom w:val="0"/>
      <w:divBdr>
        <w:top w:val="none" w:sz="0" w:space="0" w:color="auto"/>
        <w:left w:val="none" w:sz="0" w:space="0" w:color="auto"/>
        <w:bottom w:val="none" w:sz="0" w:space="0" w:color="auto"/>
        <w:right w:val="none" w:sz="0" w:space="0" w:color="auto"/>
      </w:divBdr>
    </w:div>
    <w:div w:id="127729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FFA385-4A7A-4B35-9A57-E315C5FD3A65}"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fr-FR"/>
        </a:p>
      </dgm:t>
    </dgm:pt>
    <dgm:pt modelId="{2175FCA3-378A-4364-8B45-AC56D3A4C403}">
      <dgm:prSet phldrT="[Text]" custT="1"/>
      <dgm:spPr/>
      <dgm:t>
        <a:bodyPr/>
        <a:lstStyle/>
        <a:p>
          <a:r>
            <a:rPr lang="fr-FR" sz="1000"/>
            <a:t>Scénario</a:t>
          </a:r>
        </a:p>
      </dgm:t>
    </dgm:pt>
    <dgm:pt modelId="{CEDBDBD2-9C8E-49C2-8DCF-9CB081DE1D4F}" type="parTrans" cxnId="{4DF1F4F8-AC0B-4F41-A659-B7F27F49488D}">
      <dgm:prSet/>
      <dgm:spPr/>
      <dgm:t>
        <a:bodyPr/>
        <a:lstStyle/>
        <a:p>
          <a:endParaRPr lang="fr-FR" sz="1600"/>
        </a:p>
      </dgm:t>
    </dgm:pt>
    <dgm:pt modelId="{DA3E0CBD-2821-4D0B-813A-4C650A031317}" type="sibTrans" cxnId="{4DF1F4F8-AC0B-4F41-A659-B7F27F49488D}">
      <dgm:prSet/>
      <dgm:spPr/>
      <dgm:t>
        <a:bodyPr/>
        <a:lstStyle/>
        <a:p>
          <a:endParaRPr lang="fr-FR" sz="1600"/>
        </a:p>
      </dgm:t>
    </dgm:pt>
    <dgm:pt modelId="{7F7699BD-4775-45B6-A885-9709819D06F7}">
      <dgm:prSet phldrT="[Text]" custT="1"/>
      <dgm:spPr/>
      <dgm:t>
        <a:bodyPr/>
        <a:lstStyle/>
        <a:p>
          <a:r>
            <a:rPr lang="fr-FR" sz="1100">
              <a:solidFill>
                <a:sysClr val="windowText" lastClr="000000"/>
              </a:solidFill>
            </a:rPr>
            <a:t>Conditionnel</a:t>
          </a:r>
        </a:p>
      </dgm:t>
    </dgm:pt>
    <dgm:pt modelId="{6A95EDB6-C6A6-42D7-83FE-07D33B659E54}" type="parTrans" cxnId="{321E6FC6-5D4F-472B-AE55-35707C2D79A1}">
      <dgm:prSet/>
      <dgm:spPr/>
      <dgm:t>
        <a:bodyPr/>
        <a:lstStyle/>
        <a:p>
          <a:endParaRPr lang="fr-FR" sz="1600"/>
        </a:p>
      </dgm:t>
    </dgm:pt>
    <dgm:pt modelId="{8FE26ADE-52F0-4954-8566-A5350EF1E11E}" type="sibTrans" cxnId="{321E6FC6-5D4F-472B-AE55-35707C2D79A1}">
      <dgm:prSet/>
      <dgm:spPr/>
      <dgm:t>
        <a:bodyPr/>
        <a:lstStyle/>
        <a:p>
          <a:endParaRPr lang="fr-FR" sz="1600"/>
        </a:p>
      </dgm:t>
    </dgm:pt>
    <dgm:pt modelId="{E5EEF571-E0B7-4440-B551-86B04C9CF0A0}">
      <dgm:prSet phldrT="[Text]" custT="1"/>
      <dgm:spPr/>
      <dgm:t>
        <a:bodyPr/>
        <a:lstStyle/>
        <a:p>
          <a:r>
            <a:rPr lang="fr-FR" sz="1100">
              <a:solidFill>
                <a:sysClr val="windowText" lastClr="000000"/>
              </a:solidFill>
            </a:rPr>
            <a:t>Inconditionnel</a:t>
          </a:r>
        </a:p>
      </dgm:t>
    </dgm:pt>
    <dgm:pt modelId="{A87D9569-754C-4A6D-BD0F-1E288B6B9CFE}" type="parTrans" cxnId="{8A2AB863-6761-4309-82FE-6C274BE0CBF7}">
      <dgm:prSet/>
      <dgm:spPr/>
      <dgm:t>
        <a:bodyPr/>
        <a:lstStyle/>
        <a:p>
          <a:endParaRPr lang="fr-FR" sz="1600"/>
        </a:p>
      </dgm:t>
    </dgm:pt>
    <dgm:pt modelId="{E07B77B1-B2FC-4BDE-8298-B688F4057947}" type="sibTrans" cxnId="{8A2AB863-6761-4309-82FE-6C274BE0CBF7}">
      <dgm:prSet/>
      <dgm:spPr/>
      <dgm:t>
        <a:bodyPr/>
        <a:lstStyle/>
        <a:p>
          <a:endParaRPr lang="fr-FR" sz="1600"/>
        </a:p>
      </dgm:t>
    </dgm:pt>
    <dgm:pt modelId="{7856F216-BF2B-4775-98C2-FC38F224EA9F}">
      <dgm:prSet phldrT="[Text]" custT="1"/>
      <dgm:spPr/>
      <dgm:t>
        <a:bodyPr/>
        <a:lstStyle/>
        <a:p>
          <a:r>
            <a:rPr lang="fr-FR" sz="1050"/>
            <a:t>Réduction attendue en Gg</a:t>
          </a:r>
        </a:p>
      </dgm:t>
    </dgm:pt>
    <dgm:pt modelId="{C98DE4A7-386E-4C88-8C33-6F06D32EB5C6}" type="parTrans" cxnId="{5B18CF26-9BD0-428E-A465-190923D31F14}">
      <dgm:prSet/>
      <dgm:spPr/>
      <dgm:t>
        <a:bodyPr/>
        <a:lstStyle/>
        <a:p>
          <a:endParaRPr lang="fr-FR" sz="1600"/>
        </a:p>
      </dgm:t>
    </dgm:pt>
    <dgm:pt modelId="{5889E44E-A290-462B-B72F-826E8D07EAB2}" type="sibTrans" cxnId="{5B18CF26-9BD0-428E-A465-190923D31F14}">
      <dgm:prSet/>
      <dgm:spPr/>
      <dgm:t>
        <a:bodyPr/>
        <a:lstStyle/>
        <a:p>
          <a:endParaRPr lang="fr-FR" sz="1600"/>
        </a:p>
      </dgm:t>
    </dgm:pt>
    <dgm:pt modelId="{6D636181-1413-4628-A418-340A4797C33C}">
      <dgm:prSet phldrT="[Text]" custT="1"/>
      <dgm:spPr/>
      <dgm:t>
        <a:bodyPr/>
        <a:lstStyle/>
        <a:p>
          <a:r>
            <a:rPr lang="fr-FR" sz="1100">
              <a:solidFill>
                <a:sysClr val="windowText" lastClr="000000"/>
              </a:solidFill>
            </a:rPr>
            <a:t>13 766</a:t>
          </a:r>
        </a:p>
      </dgm:t>
    </dgm:pt>
    <dgm:pt modelId="{B16E52E6-795C-4273-8E64-3E34D504012C}" type="parTrans" cxnId="{24226E1E-58B5-4EC7-BB8A-18F3B107220D}">
      <dgm:prSet/>
      <dgm:spPr/>
      <dgm:t>
        <a:bodyPr/>
        <a:lstStyle/>
        <a:p>
          <a:endParaRPr lang="fr-FR" sz="1600"/>
        </a:p>
      </dgm:t>
    </dgm:pt>
    <dgm:pt modelId="{C19D1D71-204B-40C8-9173-CEC64FA16491}" type="sibTrans" cxnId="{24226E1E-58B5-4EC7-BB8A-18F3B107220D}">
      <dgm:prSet/>
      <dgm:spPr/>
      <dgm:t>
        <a:bodyPr/>
        <a:lstStyle/>
        <a:p>
          <a:endParaRPr lang="fr-FR" sz="1600"/>
        </a:p>
      </dgm:t>
    </dgm:pt>
    <dgm:pt modelId="{CF86B7A6-C5F6-4610-8ECE-9DA3958C1A4D}">
      <dgm:prSet phldrT="[Text]" custT="1"/>
      <dgm:spPr/>
      <dgm:t>
        <a:bodyPr/>
        <a:lstStyle/>
        <a:p>
          <a:r>
            <a:rPr lang="fr-FR" sz="1100">
              <a:solidFill>
                <a:sysClr val="windowText" lastClr="000000"/>
              </a:solidFill>
            </a:rPr>
            <a:t>7 808</a:t>
          </a:r>
        </a:p>
      </dgm:t>
    </dgm:pt>
    <dgm:pt modelId="{FE6B897E-FDDD-49F7-8219-78F43E8A3DC4}" type="parTrans" cxnId="{F12C795A-E7E7-414D-82EF-7DFDD793703D}">
      <dgm:prSet/>
      <dgm:spPr/>
      <dgm:t>
        <a:bodyPr/>
        <a:lstStyle/>
        <a:p>
          <a:endParaRPr lang="fr-FR" sz="1600"/>
        </a:p>
      </dgm:t>
    </dgm:pt>
    <dgm:pt modelId="{B2607878-71B6-4BEB-92CC-F4A7A251DDE5}" type="sibTrans" cxnId="{F12C795A-E7E7-414D-82EF-7DFDD793703D}">
      <dgm:prSet/>
      <dgm:spPr/>
      <dgm:t>
        <a:bodyPr/>
        <a:lstStyle/>
        <a:p>
          <a:endParaRPr lang="fr-FR" sz="1600"/>
        </a:p>
      </dgm:t>
    </dgm:pt>
    <dgm:pt modelId="{F82E024E-5D8F-4535-B48C-D80CD5FAD4BE}">
      <dgm:prSet phldrT="[Text]" custT="1"/>
      <dgm:spPr/>
      <dgm:t>
        <a:bodyPr/>
        <a:lstStyle/>
        <a:p>
          <a:r>
            <a:rPr lang="fr-FR" sz="1050"/>
            <a:t>Réduction attendue en %</a:t>
          </a:r>
        </a:p>
      </dgm:t>
    </dgm:pt>
    <dgm:pt modelId="{C56AC7B6-418A-4EB5-92AD-8AD2F45DD766}" type="parTrans" cxnId="{A6FC5BA2-D317-4430-B240-0F1EFF0381D2}">
      <dgm:prSet/>
      <dgm:spPr/>
      <dgm:t>
        <a:bodyPr/>
        <a:lstStyle/>
        <a:p>
          <a:endParaRPr lang="fr-FR" sz="1600"/>
        </a:p>
      </dgm:t>
    </dgm:pt>
    <dgm:pt modelId="{75F22076-D80F-4BE6-BB23-740F94E4547D}" type="sibTrans" cxnId="{A6FC5BA2-D317-4430-B240-0F1EFF0381D2}">
      <dgm:prSet/>
      <dgm:spPr/>
      <dgm:t>
        <a:bodyPr/>
        <a:lstStyle/>
        <a:p>
          <a:endParaRPr lang="fr-FR" sz="1600"/>
        </a:p>
      </dgm:t>
    </dgm:pt>
    <dgm:pt modelId="{F12CC495-6AEE-43B0-BB03-3B781B14BBD7}">
      <dgm:prSet phldrT="[Text]" custT="1"/>
      <dgm:spPr/>
      <dgm:t>
        <a:bodyPr/>
        <a:lstStyle/>
        <a:p>
          <a:r>
            <a:rPr lang="fr-FR" sz="1100">
              <a:solidFill>
                <a:sysClr val="windowText" lastClr="000000"/>
              </a:solidFill>
            </a:rPr>
            <a:t>11,6</a:t>
          </a:r>
        </a:p>
      </dgm:t>
    </dgm:pt>
    <dgm:pt modelId="{D9E58B55-3BAD-494F-8731-355D3597DFC6}" type="parTrans" cxnId="{65B8F6E9-CB7C-4A3C-9495-B48B766A0AF8}">
      <dgm:prSet/>
      <dgm:spPr/>
      <dgm:t>
        <a:bodyPr/>
        <a:lstStyle/>
        <a:p>
          <a:endParaRPr lang="fr-FR" sz="1600"/>
        </a:p>
      </dgm:t>
    </dgm:pt>
    <dgm:pt modelId="{68BA81EA-4196-4840-AB4F-98DF59FC1479}" type="sibTrans" cxnId="{65B8F6E9-CB7C-4A3C-9495-B48B766A0AF8}">
      <dgm:prSet/>
      <dgm:spPr/>
      <dgm:t>
        <a:bodyPr/>
        <a:lstStyle/>
        <a:p>
          <a:endParaRPr lang="fr-FR" sz="1600"/>
        </a:p>
      </dgm:t>
    </dgm:pt>
    <dgm:pt modelId="{C096F193-676B-4B1C-991E-96912FA0FB7D}">
      <dgm:prSet phldrT="[Text]" custT="1"/>
      <dgm:spPr/>
      <dgm:t>
        <a:bodyPr/>
        <a:lstStyle/>
        <a:p>
          <a:r>
            <a:rPr lang="fr-FR" sz="1100">
              <a:solidFill>
                <a:sysClr val="windowText" lastClr="000000"/>
              </a:solidFill>
            </a:rPr>
            <a:t>6,60</a:t>
          </a:r>
        </a:p>
      </dgm:t>
    </dgm:pt>
    <dgm:pt modelId="{DB1F1294-A802-46DD-AF5B-FA3CCC100FEA}" type="parTrans" cxnId="{2F8B025C-6233-44FB-9B1D-36C7D9D58397}">
      <dgm:prSet/>
      <dgm:spPr/>
      <dgm:t>
        <a:bodyPr/>
        <a:lstStyle/>
        <a:p>
          <a:endParaRPr lang="fr-FR" sz="1600"/>
        </a:p>
      </dgm:t>
    </dgm:pt>
    <dgm:pt modelId="{0027253A-07F2-4B8F-95FB-2EA24C8BB759}" type="sibTrans" cxnId="{2F8B025C-6233-44FB-9B1D-36C7D9D58397}">
      <dgm:prSet/>
      <dgm:spPr/>
      <dgm:t>
        <a:bodyPr/>
        <a:lstStyle/>
        <a:p>
          <a:endParaRPr lang="fr-FR" sz="1600"/>
        </a:p>
      </dgm:t>
    </dgm:pt>
    <dgm:pt modelId="{7C483269-15B3-4D1F-AC89-DB815AC5345B}" type="pres">
      <dgm:prSet presAssocID="{9CFFA385-4A7A-4B35-9A57-E315C5FD3A65}" presName="theList" presStyleCnt="0">
        <dgm:presLayoutVars>
          <dgm:dir/>
          <dgm:animLvl val="lvl"/>
          <dgm:resizeHandles val="exact"/>
        </dgm:presLayoutVars>
      </dgm:prSet>
      <dgm:spPr/>
    </dgm:pt>
    <dgm:pt modelId="{7737D3DC-E217-4E35-A757-F39EF1303BA0}" type="pres">
      <dgm:prSet presAssocID="{2175FCA3-378A-4364-8B45-AC56D3A4C403}" presName="compNode" presStyleCnt="0"/>
      <dgm:spPr/>
    </dgm:pt>
    <dgm:pt modelId="{4A6621D9-0372-484E-82C9-5F0CA26F8F22}" type="pres">
      <dgm:prSet presAssocID="{2175FCA3-378A-4364-8B45-AC56D3A4C403}" presName="aNode" presStyleLbl="bgShp" presStyleIdx="0" presStyleCnt="3"/>
      <dgm:spPr/>
    </dgm:pt>
    <dgm:pt modelId="{0240FE46-55E0-434D-B0FD-3888EE682BFB}" type="pres">
      <dgm:prSet presAssocID="{2175FCA3-378A-4364-8B45-AC56D3A4C403}" presName="textNode" presStyleLbl="bgShp" presStyleIdx="0" presStyleCnt="3"/>
      <dgm:spPr/>
    </dgm:pt>
    <dgm:pt modelId="{A3428C8D-559D-4F0A-A444-B69E92B7A232}" type="pres">
      <dgm:prSet presAssocID="{2175FCA3-378A-4364-8B45-AC56D3A4C403}" presName="compChildNode" presStyleCnt="0"/>
      <dgm:spPr/>
    </dgm:pt>
    <dgm:pt modelId="{8B03C4E9-0980-4920-946F-01A94F7CF554}" type="pres">
      <dgm:prSet presAssocID="{2175FCA3-378A-4364-8B45-AC56D3A4C403}" presName="theInnerList" presStyleCnt="0"/>
      <dgm:spPr/>
    </dgm:pt>
    <dgm:pt modelId="{0C3A0B84-DD4E-471A-AC35-B95144B9F82F}" type="pres">
      <dgm:prSet presAssocID="{7F7699BD-4775-45B6-A885-9709819D06F7}" presName="childNode" presStyleLbl="node1" presStyleIdx="0" presStyleCnt="6" custScaleY="41365" custLinFactNeighborX="2926" custLinFactNeighborY="6343">
        <dgm:presLayoutVars>
          <dgm:bulletEnabled val="1"/>
        </dgm:presLayoutVars>
      </dgm:prSet>
      <dgm:spPr/>
    </dgm:pt>
    <dgm:pt modelId="{C1B6A865-47D9-4DEE-8E76-B59407051EDA}" type="pres">
      <dgm:prSet presAssocID="{7F7699BD-4775-45B6-A885-9709819D06F7}" presName="aSpace2" presStyleCnt="0"/>
      <dgm:spPr/>
    </dgm:pt>
    <dgm:pt modelId="{C2402E41-6135-41A2-A2D7-43DE5B0F1955}" type="pres">
      <dgm:prSet presAssocID="{E5EEF571-E0B7-4440-B551-86B04C9CF0A0}" presName="childNode" presStyleLbl="node1" presStyleIdx="1" presStyleCnt="6" custScaleY="41277" custLinFactNeighborX="2346" custLinFactNeighborY="7099">
        <dgm:presLayoutVars>
          <dgm:bulletEnabled val="1"/>
        </dgm:presLayoutVars>
      </dgm:prSet>
      <dgm:spPr/>
    </dgm:pt>
    <dgm:pt modelId="{B21C267B-6B2B-449A-9E5A-9B1BFA307105}" type="pres">
      <dgm:prSet presAssocID="{2175FCA3-378A-4364-8B45-AC56D3A4C403}" presName="aSpace" presStyleCnt="0"/>
      <dgm:spPr/>
    </dgm:pt>
    <dgm:pt modelId="{B43F62EE-CB20-4407-AB51-D1F72FFA40C4}" type="pres">
      <dgm:prSet presAssocID="{7856F216-BF2B-4775-98C2-FC38F224EA9F}" presName="compNode" presStyleCnt="0"/>
      <dgm:spPr/>
    </dgm:pt>
    <dgm:pt modelId="{5A9EE812-12AE-43B1-90F5-1261F18086FA}" type="pres">
      <dgm:prSet presAssocID="{7856F216-BF2B-4775-98C2-FC38F224EA9F}" presName="aNode" presStyleLbl="bgShp" presStyleIdx="1" presStyleCnt="3"/>
      <dgm:spPr/>
    </dgm:pt>
    <dgm:pt modelId="{85870E51-B125-4F31-9567-C4CC38C30B5A}" type="pres">
      <dgm:prSet presAssocID="{7856F216-BF2B-4775-98C2-FC38F224EA9F}" presName="textNode" presStyleLbl="bgShp" presStyleIdx="1" presStyleCnt="3"/>
      <dgm:spPr/>
    </dgm:pt>
    <dgm:pt modelId="{AC7365AA-2803-4743-AA8B-B463ED65743E}" type="pres">
      <dgm:prSet presAssocID="{7856F216-BF2B-4775-98C2-FC38F224EA9F}" presName="compChildNode" presStyleCnt="0"/>
      <dgm:spPr/>
    </dgm:pt>
    <dgm:pt modelId="{66CE0187-DBFB-437D-8974-3F248D2F5FFD}" type="pres">
      <dgm:prSet presAssocID="{7856F216-BF2B-4775-98C2-FC38F224EA9F}" presName="theInnerList" presStyleCnt="0"/>
      <dgm:spPr/>
    </dgm:pt>
    <dgm:pt modelId="{756DCCB7-68C3-47D4-BAFD-E8A246AB4F3C}" type="pres">
      <dgm:prSet presAssocID="{6D636181-1413-4628-A418-340A4797C33C}" presName="childNode" presStyleLbl="node1" presStyleIdx="2" presStyleCnt="6" custScaleY="41794" custLinFactNeighborX="-572" custLinFactNeighborY="-1458">
        <dgm:presLayoutVars>
          <dgm:bulletEnabled val="1"/>
        </dgm:presLayoutVars>
      </dgm:prSet>
      <dgm:spPr/>
    </dgm:pt>
    <dgm:pt modelId="{DB9BE26C-B1D1-41AD-B26A-84D060D19619}" type="pres">
      <dgm:prSet presAssocID="{6D636181-1413-4628-A418-340A4797C33C}" presName="aSpace2" presStyleCnt="0"/>
      <dgm:spPr/>
    </dgm:pt>
    <dgm:pt modelId="{80C784B9-FBB5-480C-B726-CBCC5B275239}" type="pres">
      <dgm:prSet presAssocID="{CF86B7A6-C5F6-4610-8ECE-9DA3958C1A4D}" presName="childNode" presStyleLbl="node1" presStyleIdx="3" presStyleCnt="6" custScaleY="38021" custLinFactNeighborX="12" custLinFactNeighborY="-8505">
        <dgm:presLayoutVars>
          <dgm:bulletEnabled val="1"/>
        </dgm:presLayoutVars>
      </dgm:prSet>
      <dgm:spPr/>
    </dgm:pt>
    <dgm:pt modelId="{30018016-AB45-4D18-A041-326F07340964}" type="pres">
      <dgm:prSet presAssocID="{7856F216-BF2B-4775-98C2-FC38F224EA9F}" presName="aSpace" presStyleCnt="0"/>
      <dgm:spPr/>
    </dgm:pt>
    <dgm:pt modelId="{C0E72385-1ECF-47ED-8067-8FDE496B0268}" type="pres">
      <dgm:prSet presAssocID="{F82E024E-5D8F-4535-B48C-D80CD5FAD4BE}" presName="compNode" presStyleCnt="0"/>
      <dgm:spPr/>
    </dgm:pt>
    <dgm:pt modelId="{730DBD22-1558-447A-B47D-88CC138503F2}" type="pres">
      <dgm:prSet presAssocID="{F82E024E-5D8F-4535-B48C-D80CD5FAD4BE}" presName="aNode" presStyleLbl="bgShp" presStyleIdx="2" presStyleCnt="3"/>
      <dgm:spPr/>
    </dgm:pt>
    <dgm:pt modelId="{F2EB8D51-B277-48E8-A9EE-6C1C01DC00F2}" type="pres">
      <dgm:prSet presAssocID="{F82E024E-5D8F-4535-B48C-D80CD5FAD4BE}" presName="textNode" presStyleLbl="bgShp" presStyleIdx="2" presStyleCnt="3"/>
      <dgm:spPr/>
    </dgm:pt>
    <dgm:pt modelId="{CCC5BBBC-8E04-4405-B5B6-0076CCF99F32}" type="pres">
      <dgm:prSet presAssocID="{F82E024E-5D8F-4535-B48C-D80CD5FAD4BE}" presName="compChildNode" presStyleCnt="0"/>
      <dgm:spPr/>
    </dgm:pt>
    <dgm:pt modelId="{7B6E7FDC-9A81-40D0-BF5B-72977F5943D3}" type="pres">
      <dgm:prSet presAssocID="{F82E024E-5D8F-4535-B48C-D80CD5FAD4BE}" presName="theInnerList" presStyleCnt="0"/>
      <dgm:spPr/>
    </dgm:pt>
    <dgm:pt modelId="{65733803-D12B-4E3C-BB72-09D81A4D2A5D}" type="pres">
      <dgm:prSet presAssocID="{F12CC495-6AEE-43B0-BB03-3B781B14BBD7}" presName="childNode" presStyleLbl="node1" presStyleIdx="4" presStyleCnt="6" custScaleY="40008" custLinFactNeighborX="-1757" custLinFactNeighborY="-11026">
        <dgm:presLayoutVars>
          <dgm:bulletEnabled val="1"/>
        </dgm:presLayoutVars>
      </dgm:prSet>
      <dgm:spPr/>
    </dgm:pt>
    <dgm:pt modelId="{8DC0A877-541D-429E-A046-349B7C89E6D5}" type="pres">
      <dgm:prSet presAssocID="{F12CC495-6AEE-43B0-BB03-3B781B14BBD7}" presName="aSpace2" presStyleCnt="0"/>
      <dgm:spPr/>
    </dgm:pt>
    <dgm:pt modelId="{6CC3866C-E4C6-47CF-A41B-481F71A5C571}" type="pres">
      <dgm:prSet presAssocID="{C096F193-676B-4B1C-991E-96912FA0FB7D}" presName="childNode" presStyleLbl="node1" presStyleIdx="5" presStyleCnt="6" custScaleY="40322" custLinFactNeighborX="-589" custLinFactNeighborY="-18816">
        <dgm:presLayoutVars>
          <dgm:bulletEnabled val="1"/>
        </dgm:presLayoutVars>
      </dgm:prSet>
      <dgm:spPr/>
    </dgm:pt>
  </dgm:ptLst>
  <dgm:cxnLst>
    <dgm:cxn modelId="{E36AE01A-63BB-41A5-9438-55538642AFD7}" type="presOf" srcId="{E5EEF571-E0B7-4440-B551-86B04C9CF0A0}" destId="{C2402E41-6135-41A2-A2D7-43DE5B0F1955}" srcOrd="0" destOrd="0" presId="urn:microsoft.com/office/officeart/2005/8/layout/lProcess2"/>
    <dgm:cxn modelId="{24226E1E-58B5-4EC7-BB8A-18F3B107220D}" srcId="{7856F216-BF2B-4775-98C2-FC38F224EA9F}" destId="{6D636181-1413-4628-A418-340A4797C33C}" srcOrd="0" destOrd="0" parTransId="{B16E52E6-795C-4273-8E64-3E34D504012C}" sibTransId="{C19D1D71-204B-40C8-9173-CEC64FA16491}"/>
    <dgm:cxn modelId="{3266761F-0B7A-4931-8388-5521596724B0}" type="presOf" srcId="{F82E024E-5D8F-4535-B48C-D80CD5FAD4BE}" destId="{730DBD22-1558-447A-B47D-88CC138503F2}" srcOrd="0" destOrd="0" presId="urn:microsoft.com/office/officeart/2005/8/layout/lProcess2"/>
    <dgm:cxn modelId="{5B18CF26-9BD0-428E-A465-190923D31F14}" srcId="{9CFFA385-4A7A-4B35-9A57-E315C5FD3A65}" destId="{7856F216-BF2B-4775-98C2-FC38F224EA9F}" srcOrd="1" destOrd="0" parTransId="{C98DE4A7-386E-4C88-8C33-6F06D32EB5C6}" sibTransId="{5889E44E-A290-462B-B72F-826E8D07EAB2}"/>
    <dgm:cxn modelId="{2F8B025C-6233-44FB-9B1D-36C7D9D58397}" srcId="{F82E024E-5D8F-4535-B48C-D80CD5FAD4BE}" destId="{C096F193-676B-4B1C-991E-96912FA0FB7D}" srcOrd="1" destOrd="0" parTransId="{DB1F1294-A802-46DD-AF5B-FA3CCC100FEA}" sibTransId="{0027253A-07F2-4B8F-95FB-2EA24C8BB759}"/>
    <dgm:cxn modelId="{A7A97E41-3109-4A2C-9571-9EF00C4A95EB}" type="presOf" srcId="{7F7699BD-4775-45B6-A885-9709819D06F7}" destId="{0C3A0B84-DD4E-471A-AC35-B95144B9F82F}" srcOrd="0" destOrd="0" presId="urn:microsoft.com/office/officeart/2005/8/layout/lProcess2"/>
    <dgm:cxn modelId="{8A2AB863-6761-4309-82FE-6C274BE0CBF7}" srcId="{2175FCA3-378A-4364-8B45-AC56D3A4C403}" destId="{E5EEF571-E0B7-4440-B551-86B04C9CF0A0}" srcOrd="1" destOrd="0" parTransId="{A87D9569-754C-4A6D-BD0F-1E288B6B9CFE}" sibTransId="{E07B77B1-B2FC-4BDE-8298-B688F4057947}"/>
    <dgm:cxn modelId="{01BB5245-DA5F-49C7-904E-F793637F1489}" type="presOf" srcId="{7856F216-BF2B-4775-98C2-FC38F224EA9F}" destId="{5A9EE812-12AE-43B1-90F5-1261F18086FA}" srcOrd="0" destOrd="0" presId="urn:microsoft.com/office/officeart/2005/8/layout/lProcess2"/>
    <dgm:cxn modelId="{E288BD46-C155-43CA-A689-93D5831FFCC6}" type="presOf" srcId="{6D636181-1413-4628-A418-340A4797C33C}" destId="{756DCCB7-68C3-47D4-BAFD-E8A246AB4F3C}" srcOrd="0" destOrd="0" presId="urn:microsoft.com/office/officeart/2005/8/layout/lProcess2"/>
    <dgm:cxn modelId="{6815476A-1989-400F-BAA4-92F27401B782}" type="presOf" srcId="{F82E024E-5D8F-4535-B48C-D80CD5FAD4BE}" destId="{F2EB8D51-B277-48E8-A9EE-6C1C01DC00F2}" srcOrd="1" destOrd="0" presId="urn:microsoft.com/office/officeart/2005/8/layout/lProcess2"/>
    <dgm:cxn modelId="{E05B8B6E-CE8E-4891-951A-41D496216EA1}" type="presOf" srcId="{2175FCA3-378A-4364-8B45-AC56D3A4C403}" destId="{4A6621D9-0372-484E-82C9-5F0CA26F8F22}" srcOrd="0" destOrd="0" presId="urn:microsoft.com/office/officeart/2005/8/layout/lProcess2"/>
    <dgm:cxn modelId="{F12C795A-E7E7-414D-82EF-7DFDD793703D}" srcId="{7856F216-BF2B-4775-98C2-FC38F224EA9F}" destId="{CF86B7A6-C5F6-4610-8ECE-9DA3958C1A4D}" srcOrd="1" destOrd="0" parTransId="{FE6B897E-FDDD-49F7-8219-78F43E8A3DC4}" sibTransId="{B2607878-71B6-4BEB-92CC-F4A7A251DDE5}"/>
    <dgm:cxn modelId="{A53E3C7F-CE27-4A67-AFA7-370BFAA48E7A}" type="presOf" srcId="{CF86B7A6-C5F6-4610-8ECE-9DA3958C1A4D}" destId="{80C784B9-FBB5-480C-B726-CBCC5B275239}" srcOrd="0" destOrd="0" presId="urn:microsoft.com/office/officeart/2005/8/layout/lProcess2"/>
    <dgm:cxn modelId="{E7EB2297-2E6C-40A5-AC71-B53105ED82C4}" type="presOf" srcId="{7856F216-BF2B-4775-98C2-FC38F224EA9F}" destId="{85870E51-B125-4F31-9567-C4CC38C30B5A}" srcOrd="1" destOrd="0" presId="urn:microsoft.com/office/officeart/2005/8/layout/lProcess2"/>
    <dgm:cxn modelId="{A6FC5BA2-D317-4430-B240-0F1EFF0381D2}" srcId="{9CFFA385-4A7A-4B35-9A57-E315C5FD3A65}" destId="{F82E024E-5D8F-4535-B48C-D80CD5FAD4BE}" srcOrd="2" destOrd="0" parTransId="{C56AC7B6-418A-4EB5-92AD-8AD2F45DD766}" sibTransId="{75F22076-D80F-4BE6-BB23-740F94E4547D}"/>
    <dgm:cxn modelId="{21CA39A7-68ED-4412-B8AA-6ABA5298C7C0}" type="presOf" srcId="{2175FCA3-378A-4364-8B45-AC56D3A4C403}" destId="{0240FE46-55E0-434D-B0FD-3888EE682BFB}" srcOrd="1" destOrd="0" presId="urn:microsoft.com/office/officeart/2005/8/layout/lProcess2"/>
    <dgm:cxn modelId="{321E6FC6-5D4F-472B-AE55-35707C2D79A1}" srcId="{2175FCA3-378A-4364-8B45-AC56D3A4C403}" destId="{7F7699BD-4775-45B6-A885-9709819D06F7}" srcOrd="0" destOrd="0" parTransId="{6A95EDB6-C6A6-42D7-83FE-07D33B659E54}" sibTransId="{8FE26ADE-52F0-4954-8566-A5350EF1E11E}"/>
    <dgm:cxn modelId="{6E8A95C8-FD0A-4953-8B2A-853748C6FFF9}" type="presOf" srcId="{F12CC495-6AEE-43B0-BB03-3B781B14BBD7}" destId="{65733803-D12B-4E3C-BB72-09D81A4D2A5D}" srcOrd="0" destOrd="0" presId="urn:microsoft.com/office/officeart/2005/8/layout/lProcess2"/>
    <dgm:cxn modelId="{65B8F6E9-CB7C-4A3C-9495-B48B766A0AF8}" srcId="{F82E024E-5D8F-4535-B48C-D80CD5FAD4BE}" destId="{F12CC495-6AEE-43B0-BB03-3B781B14BBD7}" srcOrd="0" destOrd="0" parTransId="{D9E58B55-3BAD-494F-8731-355D3597DFC6}" sibTransId="{68BA81EA-4196-4840-AB4F-98DF59FC1479}"/>
    <dgm:cxn modelId="{44ABF3F6-0FD8-4A6B-B37B-9C6E796FB8CC}" type="presOf" srcId="{9CFFA385-4A7A-4B35-9A57-E315C5FD3A65}" destId="{7C483269-15B3-4D1F-AC89-DB815AC5345B}" srcOrd="0" destOrd="0" presId="urn:microsoft.com/office/officeart/2005/8/layout/lProcess2"/>
    <dgm:cxn modelId="{A0C8F8F6-2BA7-4757-987F-36AF59D34815}" type="presOf" srcId="{C096F193-676B-4B1C-991E-96912FA0FB7D}" destId="{6CC3866C-E4C6-47CF-A41B-481F71A5C571}" srcOrd="0" destOrd="0" presId="urn:microsoft.com/office/officeart/2005/8/layout/lProcess2"/>
    <dgm:cxn modelId="{4DF1F4F8-AC0B-4F41-A659-B7F27F49488D}" srcId="{9CFFA385-4A7A-4B35-9A57-E315C5FD3A65}" destId="{2175FCA3-378A-4364-8B45-AC56D3A4C403}" srcOrd="0" destOrd="0" parTransId="{CEDBDBD2-9C8E-49C2-8DCF-9CB081DE1D4F}" sibTransId="{DA3E0CBD-2821-4D0B-813A-4C650A031317}"/>
    <dgm:cxn modelId="{36CCE94A-BEA7-4BBA-9A44-B8C033581C89}" type="presParOf" srcId="{7C483269-15B3-4D1F-AC89-DB815AC5345B}" destId="{7737D3DC-E217-4E35-A757-F39EF1303BA0}" srcOrd="0" destOrd="0" presId="urn:microsoft.com/office/officeart/2005/8/layout/lProcess2"/>
    <dgm:cxn modelId="{C7AC1077-6348-43F6-94BA-4036BDB34867}" type="presParOf" srcId="{7737D3DC-E217-4E35-A757-F39EF1303BA0}" destId="{4A6621D9-0372-484E-82C9-5F0CA26F8F22}" srcOrd="0" destOrd="0" presId="urn:microsoft.com/office/officeart/2005/8/layout/lProcess2"/>
    <dgm:cxn modelId="{EF19495C-6196-4FA2-85CE-68E2E61AD91B}" type="presParOf" srcId="{7737D3DC-E217-4E35-A757-F39EF1303BA0}" destId="{0240FE46-55E0-434D-B0FD-3888EE682BFB}" srcOrd="1" destOrd="0" presId="urn:microsoft.com/office/officeart/2005/8/layout/lProcess2"/>
    <dgm:cxn modelId="{0732DC13-0A07-4AC6-8823-72BF92B3241A}" type="presParOf" srcId="{7737D3DC-E217-4E35-A757-F39EF1303BA0}" destId="{A3428C8D-559D-4F0A-A444-B69E92B7A232}" srcOrd="2" destOrd="0" presId="urn:microsoft.com/office/officeart/2005/8/layout/lProcess2"/>
    <dgm:cxn modelId="{90007B2A-ECC6-441E-BA9B-1FD7E4115AD7}" type="presParOf" srcId="{A3428C8D-559D-4F0A-A444-B69E92B7A232}" destId="{8B03C4E9-0980-4920-946F-01A94F7CF554}" srcOrd="0" destOrd="0" presId="urn:microsoft.com/office/officeart/2005/8/layout/lProcess2"/>
    <dgm:cxn modelId="{7F6554C4-9EC1-43B1-94C5-A980B8CB070C}" type="presParOf" srcId="{8B03C4E9-0980-4920-946F-01A94F7CF554}" destId="{0C3A0B84-DD4E-471A-AC35-B95144B9F82F}" srcOrd="0" destOrd="0" presId="urn:microsoft.com/office/officeart/2005/8/layout/lProcess2"/>
    <dgm:cxn modelId="{23603FBC-AECA-4B66-BAE3-21F85C7AE8F5}" type="presParOf" srcId="{8B03C4E9-0980-4920-946F-01A94F7CF554}" destId="{C1B6A865-47D9-4DEE-8E76-B59407051EDA}" srcOrd="1" destOrd="0" presId="urn:microsoft.com/office/officeart/2005/8/layout/lProcess2"/>
    <dgm:cxn modelId="{39A5ECF7-4BED-4291-ABFF-651F5BF5DE0A}" type="presParOf" srcId="{8B03C4E9-0980-4920-946F-01A94F7CF554}" destId="{C2402E41-6135-41A2-A2D7-43DE5B0F1955}" srcOrd="2" destOrd="0" presId="urn:microsoft.com/office/officeart/2005/8/layout/lProcess2"/>
    <dgm:cxn modelId="{2BEDE42B-72E3-4F37-B3C6-5F1AFA15E2A6}" type="presParOf" srcId="{7C483269-15B3-4D1F-AC89-DB815AC5345B}" destId="{B21C267B-6B2B-449A-9E5A-9B1BFA307105}" srcOrd="1" destOrd="0" presId="urn:microsoft.com/office/officeart/2005/8/layout/lProcess2"/>
    <dgm:cxn modelId="{83B0C3AE-7EFD-4988-BBAC-C97D307E396D}" type="presParOf" srcId="{7C483269-15B3-4D1F-AC89-DB815AC5345B}" destId="{B43F62EE-CB20-4407-AB51-D1F72FFA40C4}" srcOrd="2" destOrd="0" presId="urn:microsoft.com/office/officeart/2005/8/layout/lProcess2"/>
    <dgm:cxn modelId="{DF36677C-822A-488B-A323-E68EA42E778C}" type="presParOf" srcId="{B43F62EE-CB20-4407-AB51-D1F72FFA40C4}" destId="{5A9EE812-12AE-43B1-90F5-1261F18086FA}" srcOrd="0" destOrd="0" presId="urn:microsoft.com/office/officeart/2005/8/layout/lProcess2"/>
    <dgm:cxn modelId="{AADC3B41-A589-402D-8BDA-A09028008563}" type="presParOf" srcId="{B43F62EE-CB20-4407-AB51-D1F72FFA40C4}" destId="{85870E51-B125-4F31-9567-C4CC38C30B5A}" srcOrd="1" destOrd="0" presId="urn:microsoft.com/office/officeart/2005/8/layout/lProcess2"/>
    <dgm:cxn modelId="{186BF9DF-2C73-472A-9920-43C7CAE077A0}" type="presParOf" srcId="{B43F62EE-CB20-4407-AB51-D1F72FFA40C4}" destId="{AC7365AA-2803-4743-AA8B-B463ED65743E}" srcOrd="2" destOrd="0" presId="urn:microsoft.com/office/officeart/2005/8/layout/lProcess2"/>
    <dgm:cxn modelId="{31FA4D53-84FA-44DF-836C-46E0E32BD4BE}" type="presParOf" srcId="{AC7365AA-2803-4743-AA8B-B463ED65743E}" destId="{66CE0187-DBFB-437D-8974-3F248D2F5FFD}" srcOrd="0" destOrd="0" presId="urn:microsoft.com/office/officeart/2005/8/layout/lProcess2"/>
    <dgm:cxn modelId="{8B693F6C-88CB-4B5D-866A-3C06BB436FF3}" type="presParOf" srcId="{66CE0187-DBFB-437D-8974-3F248D2F5FFD}" destId="{756DCCB7-68C3-47D4-BAFD-E8A246AB4F3C}" srcOrd="0" destOrd="0" presId="urn:microsoft.com/office/officeart/2005/8/layout/lProcess2"/>
    <dgm:cxn modelId="{37614247-8B74-4A78-BCFB-54E807C11C77}" type="presParOf" srcId="{66CE0187-DBFB-437D-8974-3F248D2F5FFD}" destId="{DB9BE26C-B1D1-41AD-B26A-84D060D19619}" srcOrd="1" destOrd="0" presId="urn:microsoft.com/office/officeart/2005/8/layout/lProcess2"/>
    <dgm:cxn modelId="{4276D14B-99A6-437D-9E40-1E688DEF10E1}" type="presParOf" srcId="{66CE0187-DBFB-437D-8974-3F248D2F5FFD}" destId="{80C784B9-FBB5-480C-B726-CBCC5B275239}" srcOrd="2" destOrd="0" presId="urn:microsoft.com/office/officeart/2005/8/layout/lProcess2"/>
    <dgm:cxn modelId="{76569166-1C41-4117-A51D-1EC80A220316}" type="presParOf" srcId="{7C483269-15B3-4D1F-AC89-DB815AC5345B}" destId="{30018016-AB45-4D18-A041-326F07340964}" srcOrd="3" destOrd="0" presId="urn:microsoft.com/office/officeart/2005/8/layout/lProcess2"/>
    <dgm:cxn modelId="{EA287F61-5F8B-4504-A14D-D2928F7E86F8}" type="presParOf" srcId="{7C483269-15B3-4D1F-AC89-DB815AC5345B}" destId="{C0E72385-1ECF-47ED-8067-8FDE496B0268}" srcOrd="4" destOrd="0" presId="urn:microsoft.com/office/officeart/2005/8/layout/lProcess2"/>
    <dgm:cxn modelId="{1051C069-FF22-4431-AE01-D83C9BECD73D}" type="presParOf" srcId="{C0E72385-1ECF-47ED-8067-8FDE496B0268}" destId="{730DBD22-1558-447A-B47D-88CC138503F2}" srcOrd="0" destOrd="0" presId="urn:microsoft.com/office/officeart/2005/8/layout/lProcess2"/>
    <dgm:cxn modelId="{ABC3E5D0-165C-41E3-9CF6-F87EB14EFE20}" type="presParOf" srcId="{C0E72385-1ECF-47ED-8067-8FDE496B0268}" destId="{F2EB8D51-B277-48E8-A9EE-6C1C01DC00F2}" srcOrd="1" destOrd="0" presId="urn:microsoft.com/office/officeart/2005/8/layout/lProcess2"/>
    <dgm:cxn modelId="{7D474EB7-817E-459A-98B4-29CF7F840B39}" type="presParOf" srcId="{C0E72385-1ECF-47ED-8067-8FDE496B0268}" destId="{CCC5BBBC-8E04-4405-B5B6-0076CCF99F32}" srcOrd="2" destOrd="0" presId="urn:microsoft.com/office/officeart/2005/8/layout/lProcess2"/>
    <dgm:cxn modelId="{E6C01303-462E-4B63-A7B6-86ACFE9C7711}" type="presParOf" srcId="{CCC5BBBC-8E04-4405-B5B6-0076CCF99F32}" destId="{7B6E7FDC-9A81-40D0-BF5B-72977F5943D3}" srcOrd="0" destOrd="0" presId="urn:microsoft.com/office/officeart/2005/8/layout/lProcess2"/>
    <dgm:cxn modelId="{7C4DD68F-155F-433F-98B4-75A1F26AF479}" type="presParOf" srcId="{7B6E7FDC-9A81-40D0-BF5B-72977F5943D3}" destId="{65733803-D12B-4E3C-BB72-09D81A4D2A5D}" srcOrd="0" destOrd="0" presId="urn:microsoft.com/office/officeart/2005/8/layout/lProcess2"/>
    <dgm:cxn modelId="{5534B1E1-C975-4F1C-B4A2-7230DCEDC9F7}" type="presParOf" srcId="{7B6E7FDC-9A81-40D0-BF5B-72977F5943D3}" destId="{8DC0A877-541D-429E-A046-349B7C89E6D5}" srcOrd="1" destOrd="0" presId="urn:microsoft.com/office/officeart/2005/8/layout/lProcess2"/>
    <dgm:cxn modelId="{51B32F7D-FDC4-4EB7-9EED-D5828475B583}" type="presParOf" srcId="{7B6E7FDC-9A81-40D0-BF5B-72977F5943D3}" destId="{6CC3866C-E4C6-47CF-A41B-481F71A5C571}" srcOrd="2" destOrd="0" presId="urn:microsoft.com/office/officeart/2005/8/layout/l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6621D9-0372-484E-82C9-5F0CA26F8F22}">
      <dsp:nvSpPr>
        <dsp:cNvPr id="0" name=""/>
        <dsp:cNvSpPr/>
      </dsp:nvSpPr>
      <dsp:spPr>
        <a:xfrm>
          <a:off x="760" y="0"/>
          <a:ext cx="1977088" cy="7620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fr-FR" sz="1000" kern="1200"/>
            <a:t>Scénario</a:t>
          </a:r>
        </a:p>
      </dsp:txBody>
      <dsp:txXfrm>
        <a:off x="760" y="0"/>
        <a:ext cx="1977088" cy="228600"/>
      </dsp:txXfrm>
    </dsp:sp>
    <dsp:sp modelId="{0C3A0B84-DD4E-471A-AC35-B95144B9F82F}">
      <dsp:nvSpPr>
        <dsp:cNvPr id="0" name=""/>
        <dsp:cNvSpPr/>
      </dsp:nvSpPr>
      <dsp:spPr>
        <a:xfrm>
          <a:off x="244748" y="238320"/>
          <a:ext cx="1581670" cy="204880"/>
        </a:xfrm>
        <a:prstGeom prst="roundRect">
          <a:avLst>
            <a:gd name="adj" fmla="val 10000"/>
          </a:avLst>
        </a:prstGeom>
        <a:solidFill>
          <a:schemeClr val="accent1">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solidFill>
            </a:rPr>
            <a:t>Conditionnel</a:t>
          </a:r>
        </a:p>
      </dsp:txBody>
      <dsp:txXfrm>
        <a:off x="250749" y="244321"/>
        <a:ext cx="1569668" cy="192878"/>
      </dsp:txXfrm>
    </dsp:sp>
    <dsp:sp modelId="{C2402E41-6135-41A2-A2D7-43DE5B0F1955}">
      <dsp:nvSpPr>
        <dsp:cNvPr id="0" name=""/>
        <dsp:cNvSpPr/>
      </dsp:nvSpPr>
      <dsp:spPr>
        <a:xfrm>
          <a:off x="235575" y="519977"/>
          <a:ext cx="1581670" cy="204444"/>
        </a:xfrm>
        <a:prstGeom prst="roundRect">
          <a:avLst>
            <a:gd name="adj" fmla="val 10000"/>
          </a:avLst>
        </a:prstGeom>
        <a:solidFill>
          <a:schemeClr val="accent1">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solidFill>
            </a:rPr>
            <a:t>Inconditionnel</a:t>
          </a:r>
        </a:p>
      </dsp:txBody>
      <dsp:txXfrm>
        <a:off x="241563" y="525965"/>
        <a:ext cx="1569694" cy="192468"/>
      </dsp:txXfrm>
    </dsp:sp>
    <dsp:sp modelId="{5A9EE812-12AE-43B1-90F5-1261F18086FA}">
      <dsp:nvSpPr>
        <dsp:cNvPr id="0" name=""/>
        <dsp:cNvSpPr/>
      </dsp:nvSpPr>
      <dsp:spPr>
        <a:xfrm>
          <a:off x="2126130" y="0"/>
          <a:ext cx="1977088" cy="7620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fr-FR" sz="1050" kern="1200"/>
            <a:t>Réduction attendue en Gg</a:t>
          </a:r>
        </a:p>
      </dsp:txBody>
      <dsp:txXfrm>
        <a:off x="2126130" y="0"/>
        <a:ext cx="1977088" cy="228600"/>
      </dsp:txXfrm>
    </dsp:sp>
    <dsp:sp modelId="{756DCCB7-68C3-47D4-BAFD-E8A246AB4F3C}">
      <dsp:nvSpPr>
        <dsp:cNvPr id="0" name=""/>
        <dsp:cNvSpPr/>
      </dsp:nvSpPr>
      <dsp:spPr>
        <a:xfrm>
          <a:off x="2314792" y="239377"/>
          <a:ext cx="1581670" cy="207005"/>
        </a:xfrm>
        <a:prstGeom prst="roundRect">
          <a:avLst>
            <a:gd name="adj" fmla="val 10000"/>
          </a:avLst>
        </a:prstGeom>
        <a:solidFill>
          <a:schemeClr val="accent1">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solidFill>
            </a:rPr>
            <a:t>13 766</a:t>
          </a:r>
        </a:p>
      </dsp:txBody>
      <dsp:txXfrm>
        <a:off x="2320855" y="245440"/>
        <a:ext cx="1569544" cy="194879"/>
      </dsp:txXfrm>
    </dsp:sp>
    <dsp:sp modelId="{80C784B9-FBB5-480C-B726-CBCC5B275239}">
      <dsp:nvSpPr>
        <dsp:cNvPr id="0" name=""/>
        <dsp:cNvSpPr/>
      </dsp:nvSpPr>
      <dsp:spPr>
        <a:xfrm>
          <a:off x="2324029" y="517213"/>
          <a:ext cx="1581670" cy="188318"/>
        </a:xfrm>
        <a:prstGeom prst="roundRect">
          <a:avLst>
            <a:gd name="adj" fmla="val 10000"/>
          </a:avLst>
        </a:prstGeom>
        <a:solidFill>
          <a:schemeClr val="accent1">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solidFill>
            </a:rPr>
            <a:t>7 808</a:t>
          </a:r>
        </a:p>
      </dsp:txBody>
      <dsp:txXfrm>
        <a:off x="2329545" y="522729"/>
        <a:ext cx="1570638" cy="177286"/>
      </dsp:txXfrm>
    </dsp:sp>
    <dsp:sp modelId="{730DBD22-1558-447A-B47D-88CC138503F2}">
      <dsp:nvSpPr>
        <dsp:cNvPr id="0" name=""/>
        <dsp:cNvSpPr/>
      </dsp:nvSpPr>
      <dsp:spPr>
        <a:xfrm>
          <a:off x="4251500" y="0"/>
          <a:ext cx="1977088" cy="7620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fr-FR" sz="1050" kern="1200"/>
            <a:t>Réduction attendue en %</a:t>
          </a:r>
        </a:p>
      </dsp:txBody>
      <dsp:txXfrm>
        <a:off x="4251500" y="0"/>
        <a:ext cx="1977088" cy="228600"/>
      </dsp:txXfrm>
    </dsp:sp>
    <dsp:sp modelId="{65733803-D12B-4E3C-BB72-09D81A4D2A5D}">
      <dsp:nvSpPr>
        <dsp:cNvPr id="0" name=""/>
        <dsp:cNvSpPr/>
      </dsp:nvSpPr>
      <dsp:spPr>
        <a:xfrm>
          <a:off x="4421419" y="230810"/>
          <a:ext cx="1581670" cy="198159"/>
        </a:xfrm>
        <a:prstGeom prst="roundRect">
          <a:avLst>
            <a:gd name="adj" fmla="val 10000"/>
          </a:avLst>
        </a:prstGeom>
        <a:solidFill>
          <a:schemeClr val="accent1">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solidFill>
            </a:rPr>
            <a:t>11,6</a:t>
          </a:r>
        </a:p>
      </dsp:txBody>
      <dsp:txXfrm>
        <a:off x="4427223" y="236614"/>
        <a:ext cx="1570062" cy="186551"/>
      </dsp:txXfrm>
    </dsp:sp>
    <dsp:sp modelId="{6CC3866C-E4C6-47CF-A41B-481F71A5C571}">
      <dsp:nvSpPr>
        <dsp:cNvPr id="0" name=""/>
        <dsp:cNvSpPr/>
      </dsp:nvSpPr>
      <dsp:spPr>
        <a:xfrm>
          <a:off x="4439893" y="499234"/>
          <a:ext cx="1581670" cy="199714"/>
        </a:xfrm>
        <a:prstGeom prst="roundRect">
          <a:avLst>
            <a:gd name="adj" fmla="val 10000"/>
          </a:avLst>
        </a:prstGeom>
        <a:solidFill>
          <a:schemeClr val="accent1">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solidFill>
            </a:rPr>
            <a:t>6,60</a:t>
          </a:r>
        </a:p>
      </dsp:txBody>
      <dsp:txXfrm>
        <a:off x="4445742" y="505083"/>
        <a:ext cx="1569972" cy="188016"/>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dxzJw70/TaMO4VxFZm37psQoA==">CgMxLjA4AHIhMTlTNV9LRG9lRWZ1cUM3OWxsLXVPVGFERnhjUmN6WG8z</go:docsCustomData>
</go:gDocsCustomXmlDataStorage>
</file>

<file path=customXml/itemProps1.xml><?xml version="1.0" encoding="utf-8"?>
<ds:datastoreItem xmlns:ds="http://schemas.openxmlformats.org/officeDocument/2006/customXml" ds:itemID="{C68A6311-7C92-497A-B722-71F5DB8BDF4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7195</Words>
  <Characters>39287</Characters>
  <Application>Microsoft Office Word</Application>
  <DocSecurity>0</DocSecurity>
  <Lines>677</Lines>
  <Paragraphs>283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Rach</dc:creator>
  <cp:keywords/>
  <dc:description/>
  <cp:lastModifiedBy>Souad Mourid</cp:lastModifiedBy>
  <cp:revision>3</cp:revision>
  <cp:lastPrinted>2024-07-22T11:32:00Z</cp:lastPrinted>
  <dcterms:created xsi:type="dcterms:W3CDTF">2024-08-07T10:44:00Z</dcterms:created>
  <dcterms:modified xsi:type="dcterms:W3CDTF">2024-08-07T10:51:00Z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3f1443218a7d29e3682e670d6efef06eab240f6975ed94750f57f9ebe47602a8</vt:lpwstr>
  </property>
</Properties>
</file>