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E7DF68" w14:textId="4885D37F" w:rsidR="00CB7557" w:rsidRPr="00CB7557" w:rsidRDefault="00CB7557" w:rsidP="00CB7557">
      <w:pPr>
        <w:spacing w:line="275" w:lineRule="auto"/>
        <w:textDirection w:val="btLr"/>
        <w:rPr>
          <w:rFonts w:ascii="Calibri" w:eastAsia="Trebuchet MS" w:hAnsi="Calibri" w:cs="Calibri"/>
          <w:b/>
          <w:color w:val="000000"/>
          <w:sz w:val="36"/>
          <w:szCs w:val="20"/>
        </w:rPr>
      </w:pPr>
      <w:r>
        <w:rPr>
          <w:rFonts w:ascii="Calibri" w:eastAsia="Trebuchet MS" w:hAnsi="Calibri" w:cs="Calibri"/>
          <w:b/>
          <w:noProof/>
          <w:color w:val="000000"/>
          <w:sz w:val="36"/>
          <w:szCs w:val="20"/>
        </w:rPr>
        <mc:AlternateContent>
          <mc:Choice Requires="wps">
            <w:drawing>
              <wp:anchor distT="0" distB="0" distL="114300" distR="114300" simplePos="0" relativeHeight="251659264" behindDoc="0" locked="0" layoutInCell="1" allowOverlap="1" wp14:anchorId="1267DAB2" wp14:editId="510F8920">
                <wp:simplePos x="0" y="0"/>
                <wp:positionH relativeFrom="margin">
                  <wp:align>center</wp:align>
                </wp:positionH>
                <wp:positionV relativeFrom="paragraph">
                  <wp:posOffset>678180</wp:posOffset>
                </wp:positionV>
                <wp:extent cx="6267450" cy="19050"/>
                <wp:effectExtent l="38100" t="38100" r="38100" b="38100"/>
                <wp:wrapNone/>
                <wp:docPr id="1368179964" name="Straight Connector 1"/>
                <wp:cNvGraphicFramePr/>
                <a:graphic xmlns:a="http://schemas.openxmlformats.org/drawingml/2006/main">
                  <a:graphicData uri="http://schemas.microsoft.com/office/word/2010/wordprocessingShape">
                    <wps:wsp>
                      <wps:cNvCnPr/>
                      <wps:spPr>
                        <a:xfrm flipV="1">
                          <a:off x="0" y="0"/>
                          <a:ext cx="6267450" cy="19050"/>
                        </a:xfrm>
                        <a:prstGeom prst="line">
                          <a:avLst/>
                        </a:prstGeom>
                        <a:ln w="76200">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8BE2F2E" id="Straight Connector 1" o:spid="_x0000_s1026" style="position:absolute;flip:y;z-index:251659264;visibility:visible;mso-wrap-style:square;mso-wrap-distance-left:9pt;mso-wrap-distance-top:0;mso-wrap-distance-right:9pt;mso-wrap-distance-bottom:0;mso-position-horizontal:center;mso-position-horizontal-relative:margin;mso-position-vertical:absolute;mso-position-vertical-relative:text" from="0,53.4pt" to="493.5pt,5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" strokecolor="#3e7718 [2405]" strokeweight="6pt">
                <v:stroke endcap="round"/>
                <w10:wrap anchorx="margin"/>
              </v:line>
            </w:pict>
          </mc:Fallback>
        </mc:AlternateContent>
      </w:r>
      <w:r w:rsidRPr="00CB7557">
        <w:rPr>
          <w:rFonts w:ascii="Calibri" w:eastAsia="Trebuchet MS" w:hAnsi="Calibri" w:cs="Calibri"/>
          <w:b/>
          <w:color w:val="000000"/>
          <w:sz w:val="36"/>
          <w:szCs w:val="20"/>
        </w:rPr>
        <w:t>Synthèse de l’évaluation du niveau de réalisation des objectifs et des lacunes de la 1ère CDN du Burkina Faso</w:t>
      </w:r>
    </w:p>
    <w:p w14:paraId="6D80AB45" w14:textId="74FA7C77" w:rsidR="00BC3741" w:rsidRPr="000B0AC8" w:rsidRDefault="00BC3741" w:rsidP="00CB7557">
      <w:pPr>
        <w:spacing w:before="240" w:line="240" w:lineRule="auto"/>
        <w:jc w:val="both"/>
        <w:textDirection w:val="btLr"/>
        <w:rPr>
          <w:rFonts w:ascii="Calibri" w:hAnsi="Calibri" w:cs="Calibri"/>
          <w:bCs/>
          <w:i/>
          <w:iCs/>
          <w:color w:val="BFE373" w:themeColor="accent1" w:themeTint="99"/>
          <w:sz w:val="20"/>
          <w:szCs w:val="20"/>
        </w:rPr>
      </w:pPr>
      <w:r w:rsidRPr="000B0AC8">
        <w:rPr>
          <w:rFonts w:ascii="Calibri" w:eastAsia="Trebuchet MS" w:hAnsi="Calibri" w:cs="Calibri"/>
          <w:bCs/>
          <w:i/>
          <w:iCs/>
          <w:color w:val="BFE373" w:themeColor="accent1" w:themeTint="99"/>
          <w:sz w:val="36"/>
          <w:szCs w:val="20"/>
        </w:rPr>
        <w:t>Résumé exécutif</w:t>
      </w:r>
    </w:p>
    <w:p w14:paraId="7F235C8F" w14:textId="1273B3EC" w:rsidR="000B0AC8" w:rsidRDefault="000B0AC8" w:rsidP="00BF4FFB">
      <w:pPr>
        <w:spacing w:after="0" w:line="240" w:lineRule="auto"/>
        <w:jc w:val="both"/>
        <w:rPr>
          <w:rFonts w:ascii="Calibri" w:eastAsia="Calibri" w:hAnsi="Calibri" w:cs="Calibri"/>
          <w:sz w:val="24"/>
          <w:szCs w:val="24"/>
        </w:rPr>
      </w:pPr>
    </w:p>
    <w:p w14:paraId="55BD9912" w14:textId="4618A621" w:rsidR="00D91806" w:rsidRDefault="00D91806" w:rsidP="00BF4FFB">
      <w:pPr>
        <w:spacing w:after="0" w:line="240" w:lineRule="auto"/>
        <w:jc w:val="both"/>
        <w:rPr>
          <w:rFonts w:ascii="Calibri" w:eastAsia="Calibri" w:hAnsi="Calibri" w:cs="Calibri"/>
          <w:sz w:val="24"/>
          <w:szCs w:val="24"/>
        </w:rPr>
      </w:pPr>
    </w:p>
    <w:p w14:paraId="308F4118" w14:textId="77777777" w:rsidR="00D91806" w:rsidRDefault="00D91806" w:rsidP="00BF4FFB">
      <w:pPr>
        <w:spacing w:after="0" w:line="240" w:lineRule="auto"/>
        <w:jc w:val="both"/>
        <w:rPr>
          <w:rFonts w:ascii="Calibri" w:eastAsia="Calibri" w:hAnsi="Calibri" w:cs="Calibri"/>
          <w:sz w:val="24"/>
          <w:szCs w:val="24"/>
        </w:rPr>
      </w:pPr>
    </w:p>
    <w:p w14:paraId="23DD7983" w14:textId="031DBE86" w:rsidR="00BF4FFB" w:rsidRPr="000B0AC8" w:rsidRDefault="00BF4FFB" w:rsidP="00BF4FFB">
      <w:pPr>
        <w:spacing w:after="0" w:line="240" w:lineRule="auto"/>
        <w:jc w:val="both"/>
        <w:rPr>
          <w:rFonts w:ascii="Calibri" w:eastAsia="Calibri" w:hAnsi="Calibri" w:cs="Calibri"/>
          <w:sz w:val="24"/>
          <w:szCs w:val="24"/>
        </w:rPr>
      </w:pPr>
      <w:r w:rsidRPr="000B0AC8">
        <w:rPr>
          <w:rFonts w:ascii="Calibri" w:eastAsia="Calibri" w:hAnsi="Calibri" w:cs="Calibri"/>
          <w:sz w:val="24"/>
          <w:szCs w:val="24"/>
        </w:rPr>
        <w:t xml:space="preserve">Le Burkina Faso a élaboré sa </w:t>
      </w:r>
      <w:r w:rsidRPr="000B0AC8">
        <w:rPr>
          <w:rFonts w:ascii="Calibri" w:eastAsia="Calibri" w:hAnsi="Calibri" w:cs="Calibri"/>
          <w:bCs/>
          <w:sz w:val="24"/>
          <w:szCs w:val="24"/>
        </w:rPr>
        <w:t xml:space="preserve">Contribution Déterminée au niveau National (CDN) qui </w:t>
      </w:r>
      <w:r w:rsidRPr="000B0AC8">
        <w:rPr>
          <w:rFonts w:ascii="Calibri" w:eastAsia="Calibri" w:hAnsi="Calibri" w:cs="Calibri"/>
          <w:sz w:val="24"/>
          <w:szCs w:val="24"/>
        </w:rPr>
        <w:t>comprend trois scénarios dépendant de la situation de référence et du potentiel de financement pour évaluer l’évolution des émissions</w:t>
      </w:r>
      <w:r w:rsidR="00F45FD9">
        <w:rPr>
          <w:rFonts w:ascii="Calibri" w:eastAsia="Calibri" w:hAnsi="Calibri" w:cs="Calibri"/>
          <w:sz w:val="24"/>
          <w:szCs w:val="24"/>
        </w:rPr>
        <w:t xml:space="preserve"> </w:t>
      </w:r>
      <w:r w:rsidR="00F45FD9" w:rsidRPr="00F45FD9">
        <w:rPr>
          <w:rFonts w:ascii="Calibri" w:eastAsia="Calibri" w:hAnsi="Calibri" w:cs="Calibri"/>
          <w:sz w:val="24"/>
          <w:szCs w:val="24"/>
        </w:rPr>
        <w:t>de Gaz à Effet de Serre (GES)</w:t>
      </w:r>
      <w:r w:rsidRPr="000B0AC8">
        <w:rPr>
          <w:rFonts w:ascii="Calibri" w:eastAsia="Calibri" w:hAnsi="Calibri" w:cs="Calibri"/>
          <w:sz w:val="24"/>
          <w:szCs w:val="24"/>
        </w:rPr>
        <w:t xml:space="preserve"> et les réductions possibles : </w:t>
      </w:r>
    </w:p>
    <w:p w14:paraId="028B6A83" w14:textId="5C46E927" w:rsidR="00BF4FFB" w:rsidRPr="000B0AC8" w:rsidRDefault="00BF4FFB" w:rsidP="000B0AC8">
      <w:pPr>
        <w:numPr>
          <w:ilvl w:val="0"/>
          <w:numId w:val="22"/>
        </w:numPr>
        <w:pBdr>
          <w:top w:val="nil"/>
          <w:left w:val="nil"/>
          <w:bottom w:val="nil"/>
          <w:right w:val="nil"/>
          <w:between w:val="nil"/>
        </w:pBdr>
        <w:spacing w:after="0" w:line="240" w:lineRule="auto"/>
        <w:ind w:left="426"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 xml:space="preserve">un scénario  «  tendanciel  </w:t>
      </w:r>
      <w:r w:rsidRPr="00984657">
        <w:rPr>
          <w:rFonts w:ascii="Calibri" w:eastAsia="Calibri" w:hAnsi="Calibri" w:cs="Calibri"/>
          <w:color w:val="000000"/>
          <w:sz w:val="24"/>
          <w:szCs w:val="24"/>
        </w:rPr>
        <w:t xml:space="preserve">»  </w:t>
      </w:r>
      <w:r w:rsidR="00450043">
        <w:rPr>
          <w:rFonts w:ascii="Calibri" w:eastAsia="Calibri" w:hAnsi="Calibri" w:cs="Calibri"/>
          <w:color w:val="000000"/>
          <w:sz w:val="24"/>
          <w:szCs w:val="24"/>
        </w:rPr>
        <w:t>dans</w:t>
      </w:r>
      <w:r w:rsidR="00E524D8" w:rsidRPr="00984657">
        <w:rPr>
          <w:rFonts w:ascii="Calibri" w:eastAsia="Calibri" w:hAnsi="Calibri" w:cs="Calibri"/>
          <w:color w:val="000000"/>
          <w:sz w:val="24"/>
          <w:szCs w:val="24"/>
        </w:rPr>
        <w:t xml:space="preserve"> </w:t>
      </w:r>
      <w:r w:rsidRPr="00984657">
        <w:rPr>
          <w:rFonts w:ascii="Calibri" w:eastAsia="Calibri" w:hAnsi="Calibri" w:cs="Calibri"/>
          <w:color w:val="000000"/>
          <w:sz w:val="24"/>
          <w:szCs w:val="24"/>
        </w:rPr>
        <w:t>l’hypothèse</w:t>
      </w:r>
      <w:r w:rsidRPr="000B0AC8">
        <w:rPr>
          <w:rFonts w:ascii="Calibri" w:eastAsia="Calibri" w:hAnsi="Calibri" w:cs="Calibri"/>
          <w:color w:val="000000"/>
          <w:sz w:val="24"/>
          <w:szCs w:val="24"/>
        </w:rPr>
        <w:t xml:space="preserve">  que  le  développement  économique continue sans rupture et sans modification des </w:t>
      </w:r>
      <w:r w:rsidR="00DD013D" w:rsidRPr="000B0AC8">
        <w:rPr>
          <w:rFonts w:ascii="Calibri" w:eastAsia="Calibri" w:hAnsi="Calibri" w:cs="Calibri"/>
          <w:color w:val="000000"/>
          <w:sz w:val="24"/>
          <w:szCs w:val="24"/>
        </w:rPr>
        <w:t>m</w:t>
      </w:r>
      <w:r w:rsidRPr="000B0AC8">
        <w:rPr>
          <w:rFonts w:ascii="Calibri" w:eastAsia="Calibri" w:hAnsi="Calibri" w:cs="Calibri"/>
          <w:color w:val="000000"/>
          <w:sz w:val="24"/>
          <w:szCs w:val="24"/>
        </w:rPr>
        <w:t>odes de prod</w:t>
      </w:r>
      <w:r w:rsidR="00DD013D" w:rsidRPr="000B0AC8">
        <w:rPr>
          <w:rFonts w:ascii="Calibri" w:eastAsia="Calibri" w:hAnsi="Calibri" w:cs="Calibri"/>
          <w:color w:val="000000"/>
          <w:sz w:val="24"/>
          <w:szCs w:val="24"/>
        </w:rPr>
        <w:t>u</w:t>
      </w:r>
      <w:r w:rsidRPr="000B0AC8">
        <w:rPr>
          <w:rFonts w:ascii="Calibri" w:eastAsia="Calibri" w:hAnsi="Calibri" w:cs="Calibri"/>
          <w:color w:val="000000"/>
          <w:sz w:val="24"/>
          <w:szCs w:val="24"/>
        </w:rPr>
        <w:t>ction et de consommation ;</w:t>
      </w:r>
    </w:p>
    <w:p w14:paraId="3981E7DA" w14:textId="482EC931" w:rsidR="00BF4FFB" w:rsidRPr="000B0AC8" w:rsidRDefault="00BF4FFB" w:rsidP="000B0AC8">
      <w:pPr>
        <w:numPr>
          <w:ilvl w:val="0"/>
          <w:numId w:val="22"/>
        </w:numPr>
        <w:pBdr>
          <w:top w:val="nil"/>
          <w:left w:val="nil"/>
          <w:bottom w:val="nil"/>
          <w:right w:val="nil"/>
          <w:between w:val="nil"/>
        </w:pBdr>
        <w:spacing w:after="0" w:line="240" w:lineRule="auto"/>
        <w:ind w:left="426"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 xml:space="preserve">un scénario « inconditionnel » prenant en compte toutes les initiatives ayant un financement acquis ou en cours d’acquisition. Ce scénario prévoit une réduction de </w:t>
      </w:r>
      <w:r w:rsidRPr="000B0AC8">
        <w:rPr>
          <w:rFonts w:ascii="Calibri" w:eastAsia="Calibri" w:hAnsi="Calibri" w:cs="Calibri"/>
          <w:b/>
          <w:sz w:val="24"/>
          <w:szCs w:val="24"/>
        </w:rPr>
        <w:t xml:space="preserve">7 808 Gg, </w:t>
      </w:r>
      <w:r w:rsidRPr="000B0AC8">
        <w:rPr>
          <w:rFonts w:ascii="Calibri" w:eastAsia="Calibri" w:hAnsi="Calibri" w:cs="Calibri"/>
          <w:bCs/>
          <w:sz w:val="24"/>
          <w:szCs w:val="24"/>
        </w:rPr>
        <w:t xml:space="preserve">soit 6.60% comparé au scénario </w:t>
      </w:r>
      <w:r w:rsidR="00DD013D" w:rsidRPr="000B0AC8">
        <w:rPr>
          <w:rFonts w:ascii="Calibri" w:eastAsia="Calibri" w:hAnsi="Calibri" w:cs="Calibri"/>
          <w:bCs/>
          <w:sz w:val="24"/>
          <w:szCs w:val="24"/>
        </w:rPr>
        <w:t>tendanciel</w:t>
      </w:r>
      <w:r w:rsidR="000B0AC8">
        <w:rPr>
          <w:rFonts w:ascii="Calibri" w:eastAsia="Calibri" w:hAnsi="Calibri" w:cs="Calibri"/>
          <w:bCs/>
          <w:sz w:val="24"/>
          <w:szCs w:val="24"/>
        </w:rPr>
        <w:t> </w:t>
      </w:r>
      <w:r w:rsidR="008A79D5">
        <w:rPr>
          <w:rFonts w:ascii="Calibri" w:eastAsia="Calibri" w:hAnsi="Calibri" w:cs="Calibri"/>
          <w:bCs/>
          <w:sz w:val="24"/>
          <w:szCs w:val="24"/>
        </w:rPr>
        <w:t>(2030)</w:t>
      </w:r>
      <w:r w:rsidR="000B0AC8">
        <w:rPr>
          <w:rFonts w:ascii="Calibri" w:eastAsia="Calibri" w:hAnsi="Calibri" w:cs="Calibri"/>
          <w:bCs/>
          <w:sz w:val="24"/>
          <w:szCs w:val="24"/>
        </w:rPr>
        <w:t>;</w:t>
      </w:r>
    </w:p>
    <w:p w14:paraId="47A85BE1" w14:textId="0430B52E" w:rsidR="00BF4FFB" w:rsidRPr="000B0AC8" w:rsidRDefault="00BF4FFB" w:rsidP="000B0AC8">
      <w:pPr>
        <w:numPr>
          <w:ilvl w:val="0"/>
          <w:numId w:val="22"/>
        </w:numPr>
        <w:pBdr>
          <w:top w:val="nil"/>
          <w:left w:val="nil"/>
          <w:bottom w:val="nil"/>
          <w:right w:val="nil"/>
          <w:between w:val="nil"/>
        </w:pBdr>
        <w:spacing w:line="240" w:lineRule="auto"/>
        <w:ind w:left="426" w:hanging="284"/>
        <w:jc w:val="both"/>
        <w:rPr>
          <w:rFonts w:ascii="Calibri" w:eastAsia="Calibri" w:hAnsi="Calibri" w:cs="Calibri"/>
          <w:bCs/>
          <w:color w:val="000000"/>
          <w:sz w:val="24"/>
          <w:szCs w:val="24"/>
        </w:rPr>
      </w:pPr>
      <w:r w:rsidRPr="000B0AC8">
        <w:rPr>
          <w:rFonts w:ascii="Calibri" w:eastAsia="Calibri" w:hAnsi="Calibri" w:cs="Calibri"/>
          <w:color w:val="000000"/>
          <w:sz w:val="24"/>
          <w:szCs w:val="24"/>
        </w:rPr>
        <w:t xml:space="preserve">un scénario conditionnel incluant tous les projets d’atténuations élaborés et/ou en cours d’élaboration, mais n’ayant pas de financement acquis. Les projets de ce </w:t>
      </w:r>
      <w:r w:rsidR="00DD013D" w:rsidRPr="000B0AC8">
        <w:rPr>
          <w:rFonts w:ascii="Calibri" w:eastAsia="Calibri" w:hAnsi="Calibri" w:cs="Calibri"/>
          <w:color w:val="000000"/>
          <w:sz w:val="24"/>
          <w:szCs w:val="24"/>
        </w:rPr>
        <w:t>scénario</w:t>
      </w:r>
      <w:r w:rsidRPr="000B0AC8">
        <w:rPr>
          <w:rFonts w:ascii="Calibri" w:eastAsia="Calibri" w:hAnsi="Calibri" w:cs="Calibri"/>
          <w:color w:val="000000"/>
          <w:sz w:val="24"/>
          <w:szCs w:val="24"/>
        </w:rPr>
        <w:t xml:space="preserve"> </w:t>
      </w:r>
      <w:r w:rsidR="00DD013D" w:rsidRPr="000B0AC8">
        <w:rPr>
          <w:rFonts w:ascii="Calibri" w:eastAsia="Calibri" w:hAnsi="Calibri" w:cs="Calibri"/>
          <w:color w:val="000000"/>
          <w:sz w:val="24"/>
          <w:szCs w:val="24"/>
        </w:rPr>
        <w:t>permettrai</w:t>
      </w:r>
      <w:r w:rsidR="00026454">
        <w:rPr>
          <w:rFonts w:ascii="Calibri" w:eastAsia="Calibri" w:hAnsi="Calibri" w:cs="Calibri"/>
          <w:color w:val="000000"/>
          <w:sz w:val="24"/>
          <w:szCs w:val="24"/>
        </w:rPr>
        <w:t>ent</w:t>
      </w:r>
      <w:r w:rsidRPr="000B0AC8">
        <w:rPr>
          <w:rFonts w:ascii="Calibri" w:eastAsia="Calibri" w:hAnsi="Calibri" w:cs="Calibri"/>
          <w:color w:val="000000"/>
          <w:sz w:val="24"/>
          <w:szCs w:val="24"/>
        </w:rPr>
        <w:t xml:space="preserve"> une réduction de </w:t>
      </w:r>
      <w:r w:rsidRPr="000B0AC8">
        <w:rPr>
          <w:rFonts w:ascii="Calibri" w:eastAsia="Calibri" w:hAnsi="Calibri" w:cs="Calibri"/>
          <w:b/>
          <w:bCs/>
          <w:sz w:val="24"/>
          <w:szCs w:val="24"/>
        </w:rPr>
        <w:t>13 766 Gg</w:t>
      </w:r>
      <w:r w:rsidRPr="000B0AC8">
        <w:rPr>
          <w:rFonts w:ascii="Calibri" w:eastAsia="Calibri" w:hAnsi="Calibri" w:cs="Calibri"/>
          <w:b/>
          <w:sz w:val="24"/>
          <w:szCs w:val="24"/>
        </w:rPr>
        <w:t xml:space="preserve">, </w:t>
      </w:r>
      <w:r w:rsidRPr="000B0AC8">
        <w:rPr>
          <w:rFonts w:ascii="Calibri" w:eastAsia="Calibri" w:hAnsi="Calibri" w:cs="Calibri"/>
          <w:bCs/>
          <w:sz w:val="24"/>
          <w:szCs w:val="24"/>
        </w:rPr>
        <w:t>soit 11.60% comparé au scénario tendanciel</w:t>
      </w:r>
      <w:r w:rsidR="008A79D5">
        <w:rPr>
          <w:rFonts w:ascii="Calibri" w:eastAsia="Calibri" w:hAnsi="Calibri" w:cs="Calibri"/>
          <w:bCs/>
          <w:sz w:val="24"/>
          <w:szCs w:val="24"/>
        </w:rPr>
        <w:t xml:space="preserve"> (2030)</w:t>
      </w:r>
      <w:r w:rsidR="000B0AC8">
        <w:rPr>
          <w:rFonts w:ascii="Calibri" w:eastAsia="Calibri" w:hAnsi="Calibri" w:cs="Calibri"/>
          <w:bCs/>
          <w:sz w:val="24"/>
          <w:szCs w:val="24"/>
        </w:rPr>
        <w:t>.</w:t>
      </w:r>
    </w:p>
    <w:p w14:paraId="06CA478D" w14:textId="48BFC4BA" w:rsidR="00BF4FFB" w:rsidRPr="000B0AC8" w:rsidRDefault="00BF4FFB" w:rsidP="000B0AC8">
      <w:pPr>
        <w:spacing w:line="240" w:lineRule="auto"/>
        <w:jc w:val="both"/>
        <w:rPr>
          <w:rFonts w:ascii="Calibri" w:eastAsia="Calibri" w:hAnsi="Calibri" w:cs="Calibri"/>
          <w:sz w:val="24"/>
          <w:szCs w:val="24"/>
        </w:rPr>
      </w:pPr>
      <w:r w:rsidRPr="000B0AC8">
        <w:rPr>
          <w:rFonts w:ascii="Calibri" w:eastAsia="Calibri" w:hAnsi="Calibri" w:cs="Calibri"/>
          <w:sz w:val="24"/>
          <w:szCs w:val="24"/>
        </w:rPr>
        <w:t xml:space="preserve">Après cinq (5) ans d’exécution (2016-2020) de sa CDN, le Burkina Faso doit mesurer les progrès et impacts des actions menées et l’actualiser. </w:t>
      </w:r>
    </w:p>
    <w:p w14:paraId="6347B2D5" w14:textId="3B311D05" w:rsidR="00BF4FFB" w:rsidRPr="000B0AC8" w:rsidRDefault="00BF4FFB" w:rsidP="00BF4FFB">
      <w:pPr>
        <w:spacing w:after="0" w:line="240" w:lineRule="auto"/>
        <w:jc w:val="both"/>
        <w:rPr>
          <w:rFonts w:ascii="Calibri" w:eastAsia="Calibri" w:hAnsi="Calibri" w:cs="Calibri"/>
          <w:sz w:val="24"/>
          <w:szCs w:val="24"/>
        </w:rPr>
      </w:pPr>
      <w:r w:rsidRPr="000B0AC8">
        <w:rPr>
          <w:rFonts w:ascii="Calibri" w:eastAsia="Calibri" w:hAnsi="Calibri" w:cs="Calibri"/>
          <w:sz w:val="24"/>
          <w:szCs w:val="24"/>
        </w:rPr>
        <w:t xml:space="preserve">L’évaluation se base sur l’analyse des projets permettant la réalisation des objectifs de la CDN. En raison </w:t>
      </w:r>
      <w:r w:rsidR="001F0FF0" w:rsidRPr="000B0AC8">
        <w:rPr>
          <w:rFonts w:ascii="Calibri" w:eastAsia="Calibri" w:hAnsi="Calibri" w:cs="Calibri"/>
          <w:sz w:val="24"/>
          <w:szCs w:val="24"/>
        </w:rPr>
        <w:t>des limites de disponibilité des données</w:t>
      </w:r>
      <w:r w:rsidRPr="000B0AC8">
        <w:rPr>
          <w:rFonts w:ascii="Calibri" w:eastAsia="Calibri" w:hAnsi="Calibri" w:cs="Calibri"/>
          <w:sz w:val="24"/>
          <w:szCs w:val="24"/>
        </w:rPr>
        <w:t xml:space="preserve">, seuls 104 projets ont été analysés sur les 167 </w:t>
      </w:r>
      <w:r w:rsidRPr="00755E86">
        <w:rPr>
          <w:rFonts w:ascii="Calibri" w:eastAsia="Calibri" w:hAnsi="Calibri" w:cs="Calibri"/>
          <w:sz w:val="24"/>
          <w:szCs w:val="24"/>
        </w:rPr>
        <w:t xml:space="preserve">répertoriés par </w:t>
      </w:r>
      <w:r w:rsidR="00755E86">
        <w:rPr>
          <w:rFonts w:ascii="Calibri" w:eastAsia="Calibri" w:hAnsi="Calibri" w:cs="Calibri"/>
          <w:sz w:val="24"/>
          <w:szCs w:val="24"/>
        </w:rPr>
        <w:t xml:space="preserve">une </w:t>
      </w:r>
      <w:r w:rsidRPr="00755E86">
        <w:rPr>
          <w:rFonts w:ascii="Calibri" w:eastAsia="Calibri" w:hAnsi="Calibri" w:cs="Calibri"/>
          <w:sz w:val="24"/>
          <w:szCs w:val="24"/>
        </w:rPr>
        <w:t>étude GIZ.</w:t>
      </w:r>
      <w:r w:rsidRPr="000B0AC8">
        <w:rPr>
          <w:rFonts w:ascii="Calibri" w:eastAsia="Calibri" w:hAnsi="Calibri" w:cs="Calibri"/>
          <w:sz w:val="24"/>
          <w:szCs w:val="24"/>
        </w:rPr>
        <w:t xml:space="preserve"> Ceci concerne : </w:t>
      </w:r>
    </w:p>
    <w:p w14:paraId="50A48B17" w14:textId="77777777" w:rsidR="00BF4FFB" w:rsidRPr="000B0AC8" w:rsidRDefault="00BF4FFB" w:rsidP="00BF4FFB">
      <w:pPr>
        <w:numPr>
          <w:ilvl w:val="0"/>
          <w:numId w:val="26"/>
        </w:numPr>
        <w:spacing w:after="0" w:line="240" w:lineRule="auto"/>
        <w:jc w:val="both"/>
        <w:rPr>
          <w:rFonts w:ascii="Calibri" w:eastAsia="Calibri" w:hAnsi="Calibri" w:cs="Calibri"/>
          <w:sz w:val="24"/>
          <w:szCs w:val="24"/>
        </w:rPr>
      </w:pPr>
      <w:r w:rsidRPr="000B0AC8">
        <w:rPr>
          <w:rFonts w:ascii="Calibri" w:eastAsia="Calibri" w:hAnsi="Calibri" w:cs="Calibri"/>
          <w:sz w:val="24"/>
          <w:szCs w:val="24"/>
        </w:rPr>
        <w:t>Les secteurs de l’agriculture, de l’environnement, des ressources animales et des ressources en eau (64 projets analysés sur 105 répertoriés)</w:t>
      </w:r>
    </w:p>
    <w:p w14:paraId="5378D8E8" w14:textId="77777777" w:rsidR="00BF4FFB" w:rsidRPr="000B0AC8" w:rsidRDefault="00BF4FFB" w:rsidP="00BF4FFB">
      <w:pPr>
        <w:numPr>
          <w:ilvl w:val="0"/>
          <w:numId w:val="26"/>
        </w:numPr>
        <w:spacing w:after="0" w:line="240" w:lineRule="auto"/>
        <w:jc w:val="both"/>
        <w:rPr>
          <w:rFonts w:ascii="Calibri" w:eastAsia="Calibri" w:hAnsi="Calibri" w:cs="Calibri"/>
          <w:sz w:val="24"/>
          <w:szCs w:val="24"/>
        </w:rPr>
      </w:pPr>
      <w:r w:rsidRPr="000B0AC8">
        <w:rPr>
          <w:rFonts w:ascii="Calibri" w:eastAsia="Calibri" w:hAnsi="Calibri" w:cs="Calibri"/>
          <w:sz w:val="24"/>
          <w:szCs w:val="24"/>
        </w:rPr>
        <w:t>Le secteur de l’énergie (34 projets analysés sur 51 répertoriés)</w:t>
      </w:r>
    </w:p>
    <w:p w14:paraId="5E26172B" w14:textId="77777777" w:rsidR="00BF4FFB" w:rsidRPr="000B0AC8" w:rsidRDefault="00BF4FFB" w:rsidP="00BF4FFB">
      <w:pPr>
        <w:numPr>
          <w:ilvl w:val="0"/>
          <w:numId w:val="26"/>
        </w:numPr>
        <w:spacing w:line="240" w:lineRule="auto"/>
        <w:jc w:val="both"/>
        <w:rPr>
          <w:rFonts w:ascii="Calibri" w:eastAsia="Calibri" w:hAnsi="Calibri" w:cs="Calibri"/>
          <w:sz w:val="24"/>
          <w:szCs w:val="24"/>
        </w:rPr>
      </w:pPr>
      <w:r w:rsidRPr="000B0AC8">
        <w:rPr>
          <w:rFonts w:ascii="Calibri" w:eastAsia="Calibri" w:hAnsi="Calibri" w:cs="Calibri"/>
          <w:sz w:val="24"/>
          <w:szCs w:val="24"/>
        </w:rPr>
        <w:t xml:space="preserve">Les secteurs des transports, de l’urbanisme, des infrastructures et de la santé (6 projets traités sur 11 répertoriés). </w:t>
      </w:r>
    </w:p>
    <w:p w14:paraId="7FE4C4BA" w14:textId="04EF89B6" w:rsidR="001F0FF0" w:rsidRPr="000B0AC8" w:rsidRDefault="00A03F14" w:rsidP="000B0AC8">
      <w:pPr>
        <w:pStyle w:val="ListParagraph"/>
        <w:numPr>
          <w:ilvl w:val="0"/>
          <w:numId w:val="46"/>
        </w:numPr>
        <w:tabs>
          <w:tab w:val="left" w:pos="426"/>
        </w:tabs>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b/>
          <w:bCs/>
          <w:color w:val="54A021" w:themeColor="accent2"/>
          <w:sz w:val="36"/>
          <w:szCs w:val="36"/>
          <w:u w:val="single"/>
        </w:rPr>
        <w:t>Le</w:t>
      </w:r>
      <w:r w:rsidR="00BC0ACA" w:rsidRPr="000B0AC8">
        <w:rPr>
          <w:rFonts w:ascii="Calibri" w:eastAsia="Calibri" w:hAnsi="Calibri" w:cs="Calibri"/>
          <w:b/>
          <w:bCs/>
          <w:color w:val="54A021" w:themeColor="accent2"/>
          <w:sz w:val="36"/>
          <w:szCs w:val="36"/>
          <w:u w:val="single"/>
        </w:rPr>
        <w:t xml:space="preserve"> bilan global</w:t>
      </w:r>
      <w:r w:rsidR="001F0FF0" w:rsidRPr="000B0AC8">
        <w:rPr>
          <w:rFonts w:ascii="Calibri" w:eastAsia="Calibri" w:hAnsi="Calibri" w:cs="Calibri"/>
          <w:b/>
          <w:bCs/>
          <w:color w:val="54A021" w:themeColor="accent2"/>
          <w:sz w:val="36"/>
          <w:szCs w:val="36"/>
          <w:u w:val="single"/>
        </w:rPr>
        <w:t xml:space="preserve"> de la CDN </w:t>
      </w:r>
      <w:r w:rsidR="001F0FF0" w:rsidRPr="000B0AC8">
        <w:rPr>
          <w:rFonts w:ascii="Calibri" w:eastAsia="Calibri" w:hAnsi="Calibri" w:cs="Calibri"/>
          <w:color w:val="000000"/>
          <w:sz w:val="24"/>
          <w:szCs w:val="24"/>
        </w:rPr>
        <w:t xml:space="preserve">:  </w:t>
      </w:r>
    </w:p>
    <w:p w14:paraId="75E088BC" w14:textId="77777777" w:rsidR="008D52F2" w:rsidRDefault="00DD013D" w:rsidP="00B707EE">
      <w:pPr>
        <w:spacing w:after="0" w:line="240" w:lineRule="auto"/>
        <w:jc w:val="both"/>
        <w:rPr>
          <w:rFonts w:ascii="Calibri" w:eastAsia="Calibri" w:hAnsi="Calibri" w:cs="Calibri"/>
          <w:sz w:val="24"/>
          <w:szCs w:val="24"/>
        </w:rPr>
      </w:pPr>
      <w:r w:rsidRPr="000B0AC8">
        <w:rPr>
          <w:rFonts w:ascii="Calibri" w:eastAsia="Calibri" w:hAnsi="Calibri" w:cs="Calibri"/>
          <w:color w:val="000000"/>
          <w:sz w:val="24"/>
          <w:szCs w:val="24"/>
        </w:rPr>
        <w:t xml:space="preserve">De manière globale, </w:t>
      </w:r>
      <w:r w:rsidRPr="000B0AC8">
        <w:rPr>
          <w:rFonts w:ascii="Calibri" w:eastAsia="Calibri" w:hAnsi="Calibri" w:cs="Calibri"/>
          <w:sz w:val="24"/>
          <w:szCs w:val="24"/>
        </w:rPr>
        <w:t xml:space="preserve">les taux d’atteinte des objectifs en 2020 sont à 94,01% pour le scénario inconditionnel et à 24,2% pour le scénario conditionnel. Pour </w:t>
      </w:r>
      <w:r w:rsidRPr="00755E86">
        <w:rPr>
          <w:rFonts w:ascii="Calibri" w:eastAsia="Calibri" w:hAnsi="Calibri" w:cs="Calibri"/>
          <w:sz w:val="24"/>
          <w:szCs w:val="24"/>
        </w:rPr>
        <w:t>le scénario d’adaptation intégrée</w:t>
      </w:r>
      <w:r w:rsidRPr="000B0AC8">
        <w:rPr>
          <w:rFonts w:ascii="Calibri" w:eastAsia="Calibri" w:hAnsi="Calibri" w:cs="Calibri"/>
          <w:sz w:val="24"/>
          <w:szCs w:val="24"/>
        </w:rPr>
        <w:t xml:space="preserve"> dont l’objectif était uniquement fixé pour 2030, le taux atteint en 2020 est de 89%. </w:t>
      </w:r>
    </w:p>
    <w:p w14:paraId="647FF5F3" w14:textId="41EB2B14" w:rsidR="00DD013D" w:rsidRDefault="00DD013D" w:rsidP="00B707EE">
      <w:pPr>
        <w:spacing w:after="0" w:line="240" w:lineRule="auto"/>
        <w:jc w:val="both"/>
        <w:rPr>
          <w:rFonts w:ascii="Calibri" w:eastAsia="Calibri" w:hAnsi="Calibri" w:cs="Calibri"/>
          <w:sz w:val="24"/>
          <w:szCs w:val="24"/>
        </w:rPr>
      </w:pPr>
      <w:r w:rsidRPr="000B0AC8">
        <w:rPr>
          <w:rFonts w:ascii="Calibri" w:eastAsia="Calibri" w:hAnsi="Calibri" w:cs="Calibri"/>
          <w:sz w:val="24"/>
          <w:szCs w:val="24"/>
        </w:rPr>
        <w:t>L’analyse des coûts des actions d’adaptation retenues par secteur indique un taux d’exécution financier de 121,5%. La cible de la CDN en matière de coût de réalisation a été atteinte en 2020.</w:t>
      </w:r>
    </w:p>
    <w:p w14:paraId="540FFE45" w14:textId="1FD33925" w:rsidR="008B519B" w:rsidRPr="000B0AC8" w:rsidRDefault="008B519B" w:rsidP="008B519B">
      <w:pPr>
        <w:spacing w:line="240" w:lineRule="auto"/>
        <w:jc w:val="both"/>
        <w:rPr>
          <w:rFonts w:ascii="Calibri" w:eastAsia="Calibri" w:hAnsi="Calibri" w:cs="Calibri"/>
          <w:sz w:val="24"/>
          <w:szCs w:val="24"/>
        </w:rPr>
      </w:pPr>
      <w:r w:rsidRPr="000B0AC8">
        <w:rPr>
          <w:rFonts w:ascii="Calibri" w:eastAsia="Calibri" w:hAnsi="Calibri" w:cs="Calibri"/>
          <w:sz w:val="24"/>
          <w:szCs w:val="24"/>
        </w:rPr>
        <w:t>Les résultats montrent clairement que les projets réalisés ont contribué à réduire significativement les émissions</w:t>
      </w:r>
      <w:r w:rsidR="00874FC3">
        <w:rPr>
          <w:rFonts w:ascii="Calibri" w:eastAsia="Calibri" w:hAnsi="Calibri" w:cs="Calibri"/>
          <w:sz w:val="24"/>
          <w:szCs w:val="24"/>
        </w:rPr>
        <w:t xml:space="preserve"> </w:t>
      </w:r>
      <w:r w:rsidR="00874FC3" w:rsidRPr="000B0AC8">
        <w:rPr>
          <w:rFonts w:ascii="Calibri" w:eastAsia="Calibri" w:hAnsi="Calibri" w:cs="Calibri"/>
          <w:sz w:val="24"/>
          <w:szCs w:val="24"/>
        </w:rPr>
        <w:t xml:space="preserve">de </w:t>
      </w:r>
      <w:r w:rsidR="00874FC3">
        <w:rPr>
          <w:rFonts w:ascii="Calibri" w:eastAsia="Calibri" w:hAnsi="Calibri" w:cs="Calibri"/>
          <w:sz w:val="24"/>
          <w:szCs w:val="24"/>
        </w:rPr>
        <w:t>Gaz à Effet de Serre (</w:t>
      </w:r>
      <w:r w:rsidR="00874FC3" w:rsidRPr="000B0AC8">
        <w:rPr>
          <w:rFonts w:ascii="Calibri" w:eastAsia="Calibri" w:hAnsi="Calibri" w:cs="Calibri"/>
          <w:sz w:val="24"/>
          <w:szCs w:val="24"/>
        </w:rPr>
        <w:t>GES</w:t>
      </w:r>
      <w:r w:rsidR="00874FC3">
        <w:rPr>
          <w:rFonts w:ascii="Calibri" w:eastAsia="Calibri" w:hAnsi="Calibri" w:cs="Calibri"/>
          <w:sz w:val="24"/>
          <w:szCs w:val="24"/>
        </w:rPr>
        <w:t>)</w:t>
      </w:r>
      <w:r w:rsidRPr="000B0AC8">
        <w:rPr>
          <w:rFonts w:ascii="Calibri" w:eastAsia="Calibri" w:hAnsi="Calibri" w:cs="Calibri"/>
          <w:sz w:val="24"/>
          <w:szCs w:val="24"/>
        </w:rPr>
        <w:t xml:space="preserve"> mais le niveau de contribution n’a pas été suffisant pour permettre d’atteindre 5,58% de réduction en 2020 dans le scénario inconditionnel et 11,9% de réduction dans le scénario conditionnel. La non mise en œuvre de plusieurs projets prévus expliquerait cette situation. C’est dans le scénario </w:t>
      </w:r>
      <w:r w:rsidR="000B0AC8">
        <w:rPr>
          <w:rFonts w:ascii="Calibri" w:eastAsia="Calibri" w:hAnsi="Calibri" w:cs="Calibri"/>
          <w:sz w:val="24"/>
          <w:szCs w:val="24"/>
        </w:rPr>
        <w:t>d’</w:t>
      </w:r>
      <w:r w:rsidRPr="000B0AC8">
        <w:rPr>
          <w:rFonts w:ascii="Calibri" w:eastAsia="Calibri" w:hAnsi="Calibri" w:cs="Calibri"/>
          <w:sz w:val="24"/>
          <w:szCs w:val="24"/>
        </w:rPr>
        <w:t xml:space="preserve">adaptation que des efforts importants ont été faits car les résultats se rapprochent de la cible de 2030. </w:t>
      </w:r>
    </w:p>
    <w:p w14:paraId="74647F0F" w14:textId="77777777" w:rsidR="00BC0ACA" w:rsidRPr="000B0AC8" w:rsidRDefault="00BC0ACA" w:rsidP="00BC0ACA">
      <w:pPr>
        <w:spacing w:line="240" w:lineRule="auto"/>
        <w:jc w:val="both"/>
        <w:rPr>
          <w:rFonts w:ascii="Calibri" w:eastAsia="Calibri" w:hAnsi="Calibri" w:cs="Calibri"/>
          <w:sz w:val="24"/>
          <w:szCs w:val="24"/>
        </w:rPr>
      </w:pPr>
      <w:r w:rsidRPr="000B0AC8">
        <w:rPr>
          <w:rFonts w:ascii="Calibri" w:eastAsia="Calibri" w:hAnsi="Calibri" w:cs="Calibri"/>
          <w:sz w:val="24"/>
          <w:szCs w:val="24"/>
        </w:rPr>
        <w:t>Au terme de cette évaluation, la pertinence de tous les projets exécutés est évidente car ils s’inscrivent dans les référentiels de développement national (SCAAD, PNDES) et constituent des réponses aux préoccupations et contraintes des bénéficiaires.</w:t>
      </w:r>
    </w:p>
    <w:p w14:paraId="4E6B61AD" w14:textId="79DB69F7" w:rsidR="00BC0ACA" w:rsidRPr="000B0AC8" w:rsidRDefault="00BC0ACA" w:rsidP="00BC0ACA">
      <w:pPr>
        <w:spacing w:line="240" w:lineRule="auto"/>
        <w:jc w:val="both"/>
        <w:rPr>
          <w:rFonts w:ascii="Calibri" w:eastAsia="Calibri" w:hAnsi="Calibri" w:cs="Calibri"/>
          <w:sz w:val="24"/>
          <w:szCs w:val="24"/>
        </w:rPr>
      </w:pPr>
      <w:r w:rsidRPr="00DB5586">
        <w:rPr>
          <w:rFonts w:ascii="Calibri" w:eastAsia="Calibri" w:hAnsi="Calibri" w:cs="Calibri"/>
          <w:sz w:val="24"/>
          <w:szCs w:val="24"/>
        </w:rPr>
        <w:lastRenderedPageBreak/>
        <w:t>L’efficacité d’exécution est jugée peu à moyennement perceptible et varie beaucoup entre les</w:t>
      </w:r>
      <w:r w:rsidRPr="000B0AC8">
        <w:rPr>
          <w:rFonts w:ascii="Calibri" w:eastAsia="Calibri" w:hAnsi="Calibri" w:cs="Calibri"/>
          <w:sz w:val="24"/>
          <w:szCs w:val="24"/>
        </w:rPr>
        <w:t xml:space="preserve"> projets, même à l’intérieur d’un même domaine pour plusieurs raisons que sont, essentiellement, le retard de décaissement financier et de l’installation des </w:t>
      </w:r>
      <w:bookmarkStart w:id="0" w:name="_Hlk171249056"/>
      <w:r w:rsidRPr="000B0AC8">
        <w:rPr>
          <w:rFonts w:ascii="Calibri" w:eastAsia="Calibri" w:hAnsi="Calibri" w:cs="Calibri"/>
          <w:sz w:val="24"/>
          <w:szCs w:val="24"/>
        </w:rPr>
        <w:t>U</w:t>
      </w:r>
      <w:r w:rsidR="0028763D">
        <w:rPr>
          <w:rFonts w:ascii="Calibri" w:eastAsia="Calibri" w:hAnsi="Calibri" w:cs="Calibri"/>
          <w:sz w:val="24"/>
          <w:szCs w:val="24"/>
        </w:rPr>
        <w:t xml:space="preserve">nités de </w:t>
      </w:r>
      <w:r w:rsidRPr="000B0AC8">
        <w:rPr>
          <w:rFonts w:ascii="Calibri" w:eastAsia="Calibri" w:hAnsi="Calibri" w:cs="Calibri"/>
          <w:sz w:val="24"/>
          <w:szCs w:val="24"/>
        </w:rPr>
        <w:t>G</w:t>
      </w:r>
      <w:r w:rsidR="0028763D">
        <w:rPr>
          <w:rFonts w:ascii="Calibri" w:eastAsia="Calibri" w:hAnsi="Calibri" w:cs="Calibri"/>
          <w:sz w:val="24"/>
          <w:szCs w:val="24"/>
        </w:rPr>
        <w:t xml:space="preserve">estion de </w:t>
      </w:r>
      <w:r w:rsidRPr="000B0AC8">
        <w:rPr>
          <w:rFonts w:ascii="Calibri" w:eastAsia="Calibri" w:hAnsi="Calibri" w:cs="Calibri"/>
          <w:sz w:val="24"/>
          <w:szCs w:val="24"/>
        </w:rPr>
        <w:t>P</w:t>
      </w:r>
      <w:r w:rsidR="0028763D">
        <w:rPr>
          <w:rFonts w:ascii="Calibri" w:eastAsia="Calibri" w:hAnsi="Calibri" w:cs="Calibri"/>
          <w:sz w:val="24"/>
          <w:szCs w:val="24"/>
        </w:rPr>
        <w:t>rojet (UGP)</w:t>
      </w:r>
      <w:bookmarkEnd w:id="0"/>
      <w:r w:rsidRPr="000B0AC8">
        <w:rPr>
          <w:rFonts w:ascii="Calibri" w:eastAsia="Calibri" w:hAnsi="Calibri" w:cs="Calibri"/>
          <w:sz w:val="24"/>
          <w:szCs w:val="24"/>
        </w:rPr>
        <w:t>, la réduction des budgets initiaux, la lourdeur administrative, la défaillance des entreprises, la faible appropriation des actions des projets par les bénéficiaires.</w:t>
      </w:r>
    </w:p>
    <w:p w14:paraId="088F142D" w14:textId="5FDBE3C8" w:rsidR="00BC0ACA" w:rsidRPr="000B0AC8" w:rsidRDefault="00BC0ACA" w:rsidP="00BC0ACA">
      <w:pPr>
        <w:spacing w:line="240" w:lineRule="auto"/>
        <w:jc w:val="both"/>
        <w:rPr>
          <w:rFonts w:ascii="Calibri" w:eastAsia="Calibri" w:hAnsi="Calibri" w:cs="Calibri"/>
          <w:sz w:val="24"/>
          <w:szCs w:val="24"/>
        </w:rPr>
      </w:pPr>
      <w:r w:rsidRPr="000B0AC8">
        <w:rPr>
          <w:rFonts w:ascii="Calibri" w:eastAsia="Calibri" w:hAnsi="Calibri" w:cs="Calibri"/>
          <w:sz w:val="24"/>
          <w:szCs w:val="24"/>
        </w:rPr>
        <w:t>Les projets exécutés ont eu des impacts positifs importants sur la résilience de</w:t>
      </w:r>
      <w:r w:rsidR="000B0AC8" w:rsidRPr="000B0AC8">
        <w:rPr>
          <w:rFonts w:ascii="Calibri" w:eastAsia="Calibri" w:hAnsi="Calibri" w:cs="Calibri"/>
          <w:sz w:val="24"/>
          <w:szCs w:val="24"/>
        </w:rPr>
        <w:t xml:space="preserve"> la</w:t>
      </w:r>
      <w:r w:rsidRPr="000B0AC8">
        <w:rPr>
          <w:rFonts w:ascii="Calibri" w:eastAsia="Calibri" w:hAnsi="Calibri" w:cs="Calibri"/>
          <w:sz w:val="24"/>
          <w:szCs w:val="24"/>
        </w:rPr>
        <w:t xml:space="preserve"> population (potentiel de production, des revenus, et adaptation au changement climatique). En considérant les acquis de certains projets, les femmes ont été bénéficiaires à des niveaux divers selon le type de produits et technologie diffusés. Mais La question du genre reste peu abordée et peu documentée dans les résultats des projets.</w:t>
      </w:r>
    </w:p>
    <w:p w14:paraId="7405AC28" w14:textId="727D5458" w:rsidR="00BC0ACA" w:rsidRDefault="000B0AC8" w:rsidP="00BC0ACA">
      <w:pPr>
        <w:spacing w:line="240" w:lineRule="auto"/>
        <w:jc w:val="both"/>
        <w:rPr>
          <w:rFonts w:ascii="Calibri" w:eastAsia="Calibri" w:hAnsi="Calibri" w:cs="Calibri"/>
          <w:sz w:val="24"/>
          <w:szCs w:val="24"/>
        </w:rPr>
      </w:pPr>
      <w:r>
        <w:rPr>
          <w:rFonts w:ascii="Calibri" w:eastAsia="Calibri" w:hAnsi="Calibri" w:cs="Calibri"/>
          <w:sz w:val="24"/>
          <w:szCs w:val="24"/>
        </w:rPr>
        <w:t>La durabilité est assurée car l</w:t>
      </w:r>
      <w:r w:rsidR="00BC0ACA" w:rsidRPr="000B0AC8">
        <w:rPr>
          <w:rFonts w:ascii="Calibri" w:eastAsia="Calibri" w:hAnsi="Calibri" w:cs="Calibri"/>
          <w:sz w:val="24"/>
          <w:szCs w:val="24"/>
        </w:rPr>
        <w:t xml:space="preserve">es structures d’exécution des projets </w:t>
      </w:r>
      <w:r>
        <w:rPr>
          <w:rFonts w:ascii="Calibri" w:eastAsia="Calibri" w:hAnsi="Calibri" w:cs="Calibri"/>
          <w:sz w:val="24"/>
          <w:szCs w:val="24"/>
        </w:rPr>
        <w:t>sont</w:t>
      </w:r>
      <w:r w:rsidR="00BC0ACA" w:rsidRPr="000B0AC8">
        <w:rPr>
          <w:rFonts w:ascii="Calibri" w:eastAsia="Calibri" w:hAnsi="Calibri" w:cs="Calibri"/>
          <w:sz w:val="24"/>
          <w:szCs w:val="24"/>
        </w:rPr>
        <w:t xml:space="preserve"> des structures étatiques pérennes</w:t>
      </w:r>
      <w:r>
        <w:rPr>
          <w:rFonts w:ascii="Calibri" w:eastAsia="Calibri" w:hAnsi="Calibri" w:cs="Calibri"/>
          <w:sz w:val="24"/>
          <w:szCs w:val="24"/>
        </w:rPr>
        <w:t xml:space="preserve">. De plus, les </w:t>
      </w:r>
      <w:r w:rsidR="00BC0ACA" w:rsidRPr="000B0AC8">
        <w:rPr>
          <w:rFonts w:ascii="Calibri" w:eastAsia="Calibri" w:hAnsi="Calibri" w:cs="Calibri"/>
          <w:sz w:val="24"/>
          <w:szCs w:val="24"/>
        </w:rPr>
        <w:t>projets correspondent à des réponses aux contraintes des bénéficiaires</w:t>
      </w:r>
      <w:r>
        <w:rPr>
          <w:rFonts w:ascii="Calibri" w:eastAsia="Calibri" w:hAnsi="Calibri" w:cs="Calibri"/>
          <w:sz w:val="24"/>
          <w:szCs w:val="24"/>
        </w:rPr>
        <w:t>.</w:t>
      </w:r>
    </w:p>
    <w:p w14:paraId="5C88D9B9" w14:textId="77777777" w:rsidR="000B0AC8" w:rsidRPr="000B0AC8" w:rsidRDefault="000B0AC8" w:rsidP="00BC0ACA">
      <w:pPr>
        <w:spacing w:line="240" w:lineRule="auto"/>
        <w:jc w:val="both"/>
        <w:rPr>
          <w:rFonts w:ascii="Calibri" w:eastAsia="Calibri" w:hAnsi="Calibri" w:cs="Calibri"/>
          <w:sz w:val="24"/>
          <w:szCs w:val="24"/>
        </w:rPr>
      </w:pPr>
    </w:p>
    <w:p w14:paraId="6C55815A" w14:textId="4D19AE07" w:rsidR="00BC0ACA" w:rsidRPr="000B0AC8" w:rsidRDefault="00BC0ACA" w:rsidP="000B0AC8">
      <w:pPr>
        <w:pStyle w:val="ListParagraph"/>
        <w:numPr>
          <w:ilvl w:val="0"/>
          <w:numId w:val="46"/>
        </w:numPr>
        <w:spacing w:after="0" w:line="240" w:lineRule="auto"/>
        <w:ind w:left="426" w:hanging="426"/>
        <w:jc w:val="both"/>
        <w:rPr>
          <w:rFonts w:ascii="Calibri" w:eastAsia="Calibri" w:hAnsi="Calibri" w:cs="Calibri"/>
          <w:color w:val="000000"/>
          <w:sz w:val="24"/>
          <w:szCs w:val="24"/>
        </w:rPr>
      </w:pPr>
      <w:r w:rsidRPr="000B0AC8">
        <w:rPr>
          <w:rFonts w:ascii="Calibri" w:eastAsia="Calibri" w:hAnsi="Calibri" w:cs="Calibri"/>
          <w:b/>
          <w:bCs/>
          <w:color w:val="54A021" w:themeColor="accent2"/>
          <w:sz w:val="36"/>
          <w:szCs w:val="36"/>
          <w:u w:val="single"/>
        </w:rPr>
        <w:t>Les réalisations sectorielles de la CDN </w:t>
      </w:r>
      <w:r w:rsidRPr="000B0AC8">
        <w:rPr>
          <w:rFonts w:ascii="Calibri" w:eastAsia="Calibri" w:hAnsi="Calibri" w:cs="Calibri"/>
          <w:color w:val="000000"/>
          <w:sz w:val="24"/>
          <w:szCs w:val="24"/>
        </w:rPr>
        <w:t xml:space="preserve">:  </w:t>
      </w:r>
    </w:p>
    <w:p w14:paraId="1B131CF7" w14:textId="799BC85B" w:rsidR="001F0FF0" w:rsidRPr="000B0AC8" w:rsidRDefault="00DD013D" w:rsidP="000B0AC8">
      <w:pPr>
        <w:spacing w:after="0" w:line="240" w:lineRule="auto"/>
        <w:jc w:val="both"/>
        <w:rPr>
          <w:rFonts w:ascii="Calibri" w:eastAsia="Calibri" w:hAnsi="Calibri" w:cs="Calibri"/>
          <w:sz w:val="24"/>
          <w:szCs w:val="24"/>
        </w:rPr>
      </w:pPr>
      <w:r w:rsidRPr="000B0AC8">
        <w:rPr>
          <w:rFonts w:ascii="Calibri" w:eastAsia="Calibri" w:hAnsi="Calibri" w:cs="Calibri"/>
          <w:sz w:val="24"/>
          <w:szCs w:val="24"/>
        </w:rPr>
        <w:t>Les réalisations varient en fonction des secteurs et en fonction du niveau d’avancement des projets</w:t>
      </w:r>
      <w:r w:rsidR="00BC0ACA" w:rsidRPr="000B0AC8">
        <w:rPr>
          <w:rFonts w:ascii="Calibri" w:eastAsia="Calibri" w:hAnsi="Calibri" w:cs="Calibri"/>
          <w:sz w:val="24"/>
          <w:szCs w:val="24"/>
        </w:rPr>
        <w:t xml:space="preserve"> : </w:t>
      </w:r>
      <w:r w:rsidR="000B0AC8" w:rsidRPr="006F3B84">
        <w:rPr>
          <w:rFonts w:ascii="Calibri" w:eastAsia="Calibri" w:hAnsi="Calibri" w:cs="Calibri"/>
          <w:sz w:val="24"/>
          <w:szCs w:val="24"/>
        </w:rPr>
        <w:t xml:space="preserve">les cibles de la CDN </w:t>
      </w:r>
      <w:r w:rsidR="00BC0ACA" w:rsidRPr="006F3B84">
        <w:rPr>
          <w:rFonts w:ascii="Calibri" w:eastAsia="Calibri" w:hAnsi="Calibri" w:cs="Calibri"/>
          <w:sz w:val="24"/>
          <w:szCs w:val="24"/>
        </w:rPr>
        <w:t>d</w:t>
      </w:r>
      <w:r w:rsidR="001F0FF0" w:rsidRPr="006F3B84">
        <w:rPr>
          <w:rFonts w:ascii="Calibri" w:eastAsia="Calibri" w:hAnsi="Calibri" w:cs="Calibri"/>
          <w:sz w:val="24"/>
          <w:szCs w:val="24"/>
        </w:rPr>
        <w:t>ans</w:t>
      </w:r>
      <w:r w:rsidR="007B0991" w:rsidRPr="006F3B84">
        <w:rPr>
          <w:rFonts w:ascii="Calibri" w:eastAsia="Calibri" w:hAnsi="Calibri" w:cs="Calibri"/>
          <w:sz w:val="24"/>
          <w:szCs w:val="24"/>
        </w:rPr>
        <w:t xml:space="preserve"> les secteurs de l’énergie</w:t>
      </w:r>
      <w:r w:rsidR="00186FA5">
        <w:rPr>
          <w:rFonts w:ascii="Calibri" w:eastAsia="Calibri" w:hAnsi="Calibri" w:cs="Calibri"/>
          <w:sz w:val="24"/>
          <w:szCs w:val="24"/>
        </w:rPr>
        <w:t>,</w:t>
      </w:r>
      <w:r w:rsidR="001F0FF0" w:rsidRPr="006F3B84">
        <w:rPr>
          <w:rFonts w:ascii="Calibri" w:eastAsia="Calibri" w:hAnsi="Calibri" w:cs="Calibri"/>
          <w:sz w:val="24"/>
          <w:szCs w:val="24"/>
        </w:rPr>
        <w:t xml:space="preserve"> </w:t>
      </w:r>
      <w:r w:rsidR="00D807D4">
        <w:rPr>
          <w:rFonts w:ascii="Calibri" w:eastAsia="Calibri" w:hAnsi="Calibri" w:cs="Calibri"/>
          <w:sz w:val="24"/>
          <w:szCs w:val="24"/>
        </w:rPr>
        <w:t>des</w:t>
      </w:r>
      <w:r w:rsidR="001F0FF0" w:rsidRPr="006F3B84">
        <w:rPr>
          <w:rFonts w:ascii="Calibri" w:eastAsia="Calibri" w:hAnsi="Calibri" w:cs="Calibri"/>
          <w:sz w:val="24"/>
          <w:szCs w:val="24"/>
        </w:rPr>
        <w:t xml:space="preserve"> transports, </w:t>
      </w:r>
      <w:r w:rsidR="00D807D4">
        <w:rPr>
          <w:rFonts w:ascii="Calibri" w:eastAsia="Calibri" w:hAnsi="Calibri" w:cs="Calibri"/>
          <w:sz w:val="24"/>
          <w:szCs w:val="24"/>
        </w:rPr>
        <w:t xml:space="preserve">de </w:t>
      </w:r>
      <w:r w:rsidR="001F0FF0" w:rsidRPr="006F3B84">
        <w:rPr>
          <w:rFonts w:ascii="Calibri" w:eastAsia="Calibri" w:hAnsi="Calibri" w:cs="Calibri"/>
          <w:sz w:val="24"/>
          <w:szCs w:val="24"/>
        </w:rPr>
        <w:t>l’habitat et</w:t>
      </w:r>
      <w:r w:rsidR="00D807D4">
        <w:rPr>
          <w:rFonts w:ascii="Calibri" w:eastAsia="Calibri" w:hAnsi="Calibri" w:cs="Calibri"/>
          <w:sz w:val="24"/>
          <w:szCs w:val="24"/>
        </w:rPr>
        <w:t xml:space="preserve"> de</w:t>
      </w:r>
      <w:r w:rsidR="001F0FF0" w:rsidRPr="006F3B84">
        <w:rPr>
          <w:rFonts w:ascii="Calibri" w:eastAsia="Calibri" w:hAnsi="Calibri" w:cs="Calibri"/>
          <w:sz w:val="24"/>
          <w:szCs w:val="24"/>
        </w:rPr>
        <w:t xml:space="preserve"> l’urbanisme, </w:t>
      </w:r>
      <w:r w:rsidR="00D807D4">
        <w:rPr>
          <w:rFonts w:ascii="Calibri" w:eastAsia="Calibri" w:hAnsi="Calibri" w:cs="Calibri"/>
          <w:sz w:val="24"/>
          <w:szCs w:val="24"/>
        </w:rPr>
        <w:t>des</w:t>
      </w:r>
      <w:r w:rsidR="001F0FF0" w:rsidRPr="006F3B84">
        <w:rPr>
          <w:rFonts w:ascii="Calibri" w:eastAsia="Calibri" w:hAnsi="Calibri" w:cs="Calibri"/>
          <w:sz w:val="24"/>
          <w:szCs w:val="24"/>
        </w:rPr>
        <w:t xml:space="preserve"> infrastructures et </w:t>
      </w:r>
      <w:r w:rsidR="00D807D4">
        <w:rPr>
          <w:rFonts w:ascii="Calibri" w:eastAsia="Calibri" w:hAnsi="Calibri" w:cs="Calibri"/>
          <w:sz w:val="24"/>
          <w:szCs w:val="24"/>
        </w:rPr>
        <w:t xml:space="preserve">de </w:t>
      </w:r>
      <w:r w:rsidR="001F0FF0" w:rsidRPr="006F3B84">
        <w:rPr>
          <w:rFonts w:ascii="Calibri" w:eastAsia="Calibri" w:hAnsi="Calibri" w:cs="Calibri"/>
          <w:sz w:val="24"/>
          <w:szCs w:val="24"/>
        </w:rPr>
        <w:t>la santé</w:t>
      </w:r>
      <w:r w:rsidR="000B0AC8" w:rsidRPr="006F3B84">
        <w:rPr>
          <w:rFonts w:ascii="Calibri" w:eastAsia="Calibri" w:hAnsi="Calibri" w:cs="Calibri"/>
          <w:sz w:val="24"/>
          <w:szCs w:val="24"/>
        </w:rPr>
        <w:t xml:space="preserve"> </w:t>
      </w:r>
      <w:r w:rsidR="001F0FF0" w:rsidRPr="006F3B84">
        <w:rPr>
          <w:rFonts w:ascii="Calibri" w:eastAsia="Calibri" w:hAnsi="Calibri" w:cs="Calibri"/>
          <w:sz w:val="24"/>
          <w:szCs w:val="24"/>
        </w:rPr>
        <w:t>n’ont pas été atteintes. Les transports constituent l’une des principales problématiques en matière de réduction des GES. La pollution du secteur est très élevée et croît à</w:t>
      </w:r>
      <w:r w:rsidR="001F0FF0" w:rsidRPr="000B0AC8">
        <w:rPr>
          <w:rFonts w:ascii="Calibri" w:eastAsia="Calibri" w:hAnsi="Calibri" w:cs="Calibri"/>
          <w:sz w:val="24"/>
          <w:szCs w:val="24"/>
        </w:rPr>
        <w:t xml:space="preserve"> un rythme supérieur à celui des autres domaines. Ce domaine constitue un point d’attention pour la prochaine CDN.</w:t>
      </w:r>
    </w:p>
    <w:p w14:paraId="0EC76D58" w14:textId="77777777" w:rsidR="001F0FF0" w:rsidRPr="000B0AC8" w:rsidRDefault="001F0FF0" w:rsidP="00DD013D">
      <w:pPr>
        <w:spacing w:after="0" w:line="240" w:lineRule="auto"/>
        <w:jc w:val="both"/>
        <w:rPr>
          <w:rFonts w:ascii="Calibri" w:eastAsia="Calibri" w:hAnsi="Calibri" w:cs="Calibri"/>
          <w:sz w:val="24"/>
          <w:szCs w:val="24"/>
        </w:rPr>
      </w:pPr>
    </w:p>
    <w:p w14:paraId="33067A03" w14:textId="75779543" w:rsidR="00BF4FFB" w:rsidRPr="000B0AC8" w:rsidRDefault="000B0AC8" w:rsidP="000B0AC8">
      <w:pPr>
        <w:spacing w:after="0"/>
        <w:rPr>
          <w:rFonts w:ascii="Calibri" w:eastAsia="Calibri" w:hAnsi="Calibri" w:cs="Calibri"/>
          <w:color w:val="93DE61" w:themeColor="accent2" w:themeTint="99"/>
          <w:sz w:val="36"/>
          <w:szCs w:val="36"/>
        </w:rPr>
      </w:pPr>
      <w:r w:rsidRPr="000B0AC8">
        <w:rPr>
          <w:rFonts w:ascii="Calibri" w:eastAsia="Calibri" w:hAnsi="Calibri" w:cs="Calibri"/>
          <w:color w:val="93DE61" w:themeColor="accent2" w:themeTint="99"/>
          <w:sz w:val="28"/>
          <w:szCs w:val="28"/>
        </w:rPr>
        <w:t>E</w:t>
      </w:r>
      <w:r w:rsidR="00BF4FFB" w:rsidRPr="000B0AC8">
        <w:rPr>
          <w:rFonts w:ascii="Calibri" w:eastAsia="Calibri" w:hAnsi="Calibri" w:cs="Calibri"/>
          <w:color w:val="93DE61" w:themeColor="accent2" w:themeTint="99"/>
          <w:sz w:val="28"/>
          <w:szCs w:val="28"/>
        </w:rPr>
        <w:t>nvironnement et ressources animales</w:t>
      </w:r>
      <w:r w:rsidR="001F0FF0" w:rsidRPr="000B0AC8">
        <w:rPr>
          <w:rFonts w:ascii="Calibri" w:eastAsia="Calibri" w:hAnsi="Calibri" w:cs="Calibri"/>
          <w:color w:val="93DE61" w:themeColor="accent2" w:themeTint="99"/>
          <w:sz w:val="28"/>
          <w:szCs w:val="28"/>
        </w:rPr>
        <w:t xml:space="preserve"> : </w:t>
      </w:r>
    </w:p>
    <w:p w14:paraId="1819E959" w14:textId="3304EF5E" w:rsidR="00BF4FFB" w:rsidRPr="000B0AC8" w:rsidRDefault="00BF4FFB" w:rsidP="008B519B">
      <w:pPr>
        <w:pBdr>
          <w:top w:val="nil"/>
          <w:left w:val="nil"/>
          <w:bottom w:val="nil"/>
          <w:right w:val="nil"/>
          <w:between w:val="nil"/>
        </w:pBdr>
        <w:spacing w:after="0" w:line="240" w:lineRule="auto"/>
        <w:jc w:val="both"/>
        <w:rPr>
          <w:rFonts w:ascii="Calibri" w:eastAsia="Calibri" w:hAnsi="Calibri" w:cs="Calibri"/>
          <w:sz w:val="24"/>
          <w:szCs w:val="24"/>
        </w:rPr>
      </w:pPr>
      <w:r w:rsidRPr="000B0AC8">
        <w:rPr>
          <w:rFonts w:ascii="Calibri" w:eastAsia="Calibri" w:hAnsi="Calibri" w:cs="Calibri"/>
          <w:sz w:val="24"/>
          <w:szCs w:val="24"/>
        </w:rPr>
        <w:t xml:space="preserve">Les projets du domaine environnement et ressources animales sont estimés </w:t>
      </w:r>
      <w:r w:rsidR="001F0FF0" w:rsidRPr="000B0AC8">
        <w:rPr>
          <w:rFonts w:ascii="Calibri" w:eastAsia="Calibri" w:hAnsi="Calibri" w:cs="Calibri"/>
          <w:sz w:val="24"/>
          <w:szCs w:val="24"/>
        </w:rPr>
        <w:t>à</w:t>
      </w:r>
      <w:r w:rsidRPr="000B0AC8">
        <w:rPr>
          <w:rFonts w:ascii="Calibri" w:eastAsia="Calibri" w:hAnsi="Calibri" w:cs="Calibri"/>
          <w:sz w:val="24"/>
          <w:szCs w:val="24"/>
        </w:rPr>
        <w:t xml:space="preserve"> un coût total de </w:t>
      </w:r>
      <w:r w:rsidRPr="000B0AC8">
        <w:rPr>
          <w:rFonts w:ascii="Calibri" w:eastAsia="Calibri" w:hAnsi="Calibri" w:cs="Calibri"/>
          <w:b/>
          <w:bCs/>
          <w:sz w:val="24"/>
          <w:szCs w:val="24"/>
        </w:rPr>
        <w:t>171 bFCFA</w:t>
      </w:r>
      <w:r w:rsidRPr="000B0AC8">
        <w:rPr>
          <w:rFonts w:ascii="Calibri" w:eastAsia="Calibri" w:hAnsi="Calibri" w:cs="Calibri"/>
          <w:sz w:val="24"/>
          <w:szCs w:val="24"/>
        </w:rPr>
        <w:t xml:space="preserve"> et bénéficient </w:t>
      </w:r>
      <w:r w:rsidR="001F0FF0" w:rsidRPr="000B0AC8">
        <w:rPr>
          <w:rFonts w:ascii="Calibri" w:eastAsia="Calibri" w:hAnsi="Calibri" w:cs="Calibri"/>
          <w:sz w:val="24"/>
          <w:szCs w:val="24"/>
        </w:rPr>
        <w:t>à</w:t>
      </w:r>
      <w:r w:rsidRPr="000B0AC8">
        <w:rPr>
          <w:rFonts w:ascii="Calibri" w:eastAsia="Calibri" w:hAnsi="Calibri" w:cs="Calibri"/>
          <w:sz w:val="24"/>
          <w:szCs w:val="24"/>
        </w:rPr>
        <w:t xml:space="preserve"> </w:t>
      </w:r>
      <w:r w:rsidRPr="000B0AC8">
        <w:rPr>
          <w:rFonts w:ascii="Calibri" w:eastAsia="Calibri" w:hAnsi="Calibri" w:cs="Calibri"/>
          <w:b/>
          <w:bCs/>
          <w:sz w:val="24"/>
          <w:szCs w:val="24"/>
        </w:rPr>
        <w:t>1 129 318 personnes</w:t>
      </w:r>
      <w:r w:rsidRPr="000B0AC8">
        <w:rPr>
          <w:rFonts w:ascii="Calibri" w:eastAsia="Calibri" w:hAnsi="Calibri" w:cs="Calibri"/>
          <w:sz w:val="24"/>
          <w:szCs w:val="24"/>
        </w:rPr>
        <w:t xml:space="preserve">, dont </w:t>
      </w:r>
      <w:r w:rsidRPr="000B0AC8">
        <w:rPr>
          <w:rFonts w:ascii="Calibri" w:eastAsia="Calibri" w:hAnsi="Calibri" w:cs="Calibri"/>
          <w:b/>
          <w:bCs/>
          <w:sz w:val="24"/>
          <w:szCs w:val="24"/>
        </w:rPr>
        <w:t>17,13% seulement sont des femmes</w:t>
      </w:r>
      <w:r w:rsidR="008B519B" w:rsidRPr="000B0AC8">
        <w:rPr>
          <w:rFonts w:ascii="Calibri" w:eastAsia="Calibri" w:hAnsi="Calibri" w:cs="Calibri"/>
          <w:sz w:val="24"/>
          <w:szCs w:val="24"/>
        </w:rPr>
        <w:t xml:space="preserve">. </w:t>
      </w:r>
      <w:r w:rsidRPr="000B0AC8">
        <w:rPr>
          <w:rFonts w:ascii="Calibri" w:eastAsia="Calibri" w:hAnsi="Calibri" w:cs="Calibri"/>
          <w:sz w:val="24"/>
          <w:szCs w:val="24"/>
        </w:rPr>
        <w:t xml:space="preserve">La réalisation physique des projets est en moyenne à </w:t>
      </w:r>
      <w:r w:rsidRPr="000B0AC8">
        <w:rPr>
          <w:rFonts w:ascii="Calibri" w:eastAsia="Calibri" w:hAnsi="Calibri" w:cs="Calibri"/>
          <w:b/>
          <w:bCs/>
          <w:sz w:val="24"/>
          <w:szCs w:val="24"/>
        </w:rPr>
        <w:t>78.4%</w:t>
      </w:r>
      <w:r w:rsidRPr="000B0AC8">
        <w:rPr>
          <w:rFonts w:ascii="Calibri" w:eastAsia="Calibri" w:hAnsi="Calibri" w:cs="Calibri"/>
          <w:sz w:val="24"/>
          <w:szCs w:val="24"/>
        </w:rPr>
        <w:t xml:space="preserve"> alors que la réalisation financière est à moins de </w:t>
      </w:r>
      <w:r w:rsidRPr="000B0AC8">
        <w:rPr>
          <w:rFonts w:ascii="Calibri" w:eastAsia="Calibri" w:hAnsi="Calibri" w:cs="Calibri"/>
          <w:b/>
          <w:bCs/>
          <w:sz w:val="24"/>
          <w:szCs w:val="24"/>
        </w:rPr>
        <w:t>70%.</w:t>
      </w:r>
      <w:r w:rsidRPr="000B0AC8">
        <w:rPr>
          <w:rFonts w:ascii="Calibri" w:eastAsia="Calibri" w:hAnsi="Calibri" w:cs="Calibri"/>
          <w:sz w:val="24"/>
          <w:szCs w:val="24"/>
        </w:rPr>
        <w:t xml:space="preserve"> </w:t>
      </w:r>
    </w:p>
    <w:p w14:paraId="785E886D" w14:textId="77777777" w:rsidR="008B519B" w:rsidRPr="000B0AC8" w:rsidRDefault="008B519B" w:rsidP="000B0AC8">
      <w:pPr>
        <w:pBdr>
          <w:top w:val="nil"/>
          <w:left w:val="nil"/>
          <w:bottom w:val="nil"/>
          <w:right w:val="nil"/>
          <w:between w:val="nil"/>
        </w:pBdr>
        <w:spacing w:after="0" w:line="240" w:lineRule="auto"/>
        <w:jc w:val="both"/>
        <w:rPr>
          <w:rFonts w:ascii="Calibri" w:eastAsia="Calibri" w:hAnsi="Calibri" w:cs="Calibri"/>
          <w:sz w:val="24"/>
          <w:szCs w:val="24"/>
        </w:rPr>
      </w:pPr>
    </w:p>
    <w:p w14:paraId="26CE8F3F" w14:textId="6BD7E0CE" w:rsidR="00BF4FFB" w:rsidRPr="000B0AC8" w:rsidRDefault="000B0AC8" w:rsidP="000B0AC8">
      <w:pPr>
        <w:spacing w:after="0" w:line="240" w:lineRule="auto"/>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A</w:t>
      </w:r>
      <w:r w:rsidR="00BF4FFB" w:rsidRPr="000B0AC8">
        <w:rPr>
          <w:rFonts w:ascii="Calibri" w:eastAsia="Calibri" w:hAnsi="Calibri" w:cs="Calibri"/>
          <w:color w:val="93DE61" w:themeColor="accent2" w:themeTint="99"/>
          <w:sz w:val="28"/>
          <w:szCs w:val="28"/>
        </w:rPr>
        <w:t>griculture et ressources en eau</w:t>
      </w:r>
      <w:r w:rsidR="001F0FF0" w:rsidRPr="000B0AC8">
        <w:rPr>
          <w:rFonts w:ascii="Calibri" w:eastAsia="Calibri" w:hAnsi="Calibri" w:cs="Calibri"/>
          <w:color w:val="93DE61" w:themeColor="accent2" w:themeTint="99"/>
          <w:sz w:val="28"/>
          <w:szCs w:val="28"/>
        </w:rPr>
        <w:t> :</w:t>
      </w:r>
    </w:p>
    <w:p w14:paraId="661B4891" w14:textId="509C1105" w:rsidR="00DD013D" w:rsidRPr="000B0AC8" w:rsidRDefault="00DD013D" w:rsidP="000B0AC8">
      <w:pPr>
        <w:spacing w:after="0" w:line="240" w:lineRule="auto"/>
        <w:jc w:val="both"/>
        <w:rPr>
          <w:rFonts w:ascii="Calibri" w:eastAsia="Calibri" w:hAnsi="Calibri" w:cs="Calibri"/>
          <w:sz w:val="24"/>
          <w:szCs w:val="24"/>
        </w:rPr>
      </w:pPr>
      <w:r w:rsidRPr="000B0AC8">
        <w:rPr>
          <w:rFonts w:ascii="Calibri" w:eastAsia="Calibri" w:hAnsi="Calibri" w:cs="Calibri"/>
          <w:sz w:val="24"/>
          <w:szCs w:val="24"/>
        </w:rPr>
        <w:t xml:space="preserve">La contribution du secteur </w:t>
      </w:r>
      <w:r w:rsidR="0028763D">
        <w:rPr>
          <w:rFonts w:ascii="Calibri" w:hAnsi="Calibri" w:cs="Calibri"/>
          <w:sz w:val="24"/>
          <w:szCs w:val="24"/>
        </w:rPr>
        <w:t>A</w:t>
      </w:r>
      <w:r w:rsidR="0028763D" w:rsidRPr="007F1FFC">
        <w:rPr>
          <w:rFonts w:ascii="Calibri" w:hAnsi="Calibri" w:cs="Calibri"/>
          <w:sz w:val="24"/>
          <w:szCs w:val="24"/>
        </w:rPr>
        <w:t>griculture</w:t>
      </w:r>
      <w:r w:rsidR="0028763D">
        <w:rPr>
          <w:rFonts w:ascii="Calibri" w:hAnsi="Calibri" w:cs="Calibri"/>
          <w:sz w:val="24"/>
          <w:szCs w:val="24"/>
        </w:rPr>
        <w:t>,</w:t>
      </w:r>
      <w:r w:rsidR="0028763D" w:rsidRPr="007F1FFC">
        <w:rPr>
          <w:rFonts w:ascii="Calibri" w:hAnsi="Calibri" w:cs="Calibri"/>
          <w:sz w:val="24"/>
          <w:szCs w:val="24"/>
        </w:rPr>
        <w:t xml:space="preserve"> </w:t>
      </w:r>
      <w:r w:rsidR="0028763D">
        <w:rPr>
          <w:rFonts w:ascii="Calibri" w:hAnsi="Calibri" w:cs="Calibri"/>
          <w:sz w:val="24"/>
          <w:szCs w:val="24"/>
        </w:rPr>
        <w:t>F</w:t>
      </w:r>
      <w:r w:rsidR="0028763D" w:rsidRPr="007F1FFC">
        <w:rPr>
          <w:rFonts w:ascii="Calibri" w:hAnsi="Calibri" w:cs="Calibri"/>
          <w:sz w:val="24"/>
          <w:szCs w:val="24"/>
        </w:rPr>
        <w:t xml:space="preserve">oresterie, </w:t>
      </w:r>
      <w:r w:rsidR="0028763D">
        <w:rPr>
          <w:rFonts w:ascii="Calibri" w:hAnsi="Calibri" w:cs="Calibri"/>
          <w:sz w:val="24"/>
          <w:szCs w:val="24"/>
        </w:rPr>
        <w:t>U</w:t>
      </w:r>
      <w:r w:rsidR="0028763D" w:rsidRPr="007F1FFC">
        <w:rPr>
          <w:rFonts w:ascii="Calibri" w:hAnsi="Calibri" w:cs="Calibri"/>
          <w:sz w:val="24"/>
          <w:szCs w:val="24"/>
        </w:rPr>
        <w:t xml:space="preserve">tilisation des </w:t>
      </w:r>
      <w:r w:rsidR="0028763D">
        <w:rPr>
          <w:rFonts w:ascii="Calibri" w:hAnsi="Calibri" w:cs="Calibri"/>
          <w:sz w:val="24"/>
          <w:szCs w:val="24"/>
        </w:rPr>
        <w:t>t</w:t>
      </w:r>
      <w:r w:rsidR="0028763D" w:rsidRPr="007F1FFC">
        <w:rPr>
          <w:rFonts w:ascii="Calibri" w:hAnsi="Calibri" w:cs="Calibri"/>
          <w:sz w:val="24"/>
          <w:szCs w:val="24"/>
        </w:rPr>
        <w:t>erres</w:t>
      </w:r>
      <w:r w:rsidR="0028763D" w:rsidRPr="00BC27D2">
        <w:rPr>
          <w:rFonts w:ascii="Calibri" w:hAnsi="Calibri" w:cs="Calibri"/>
          <w:b/>
          <w:bCs/>
          <w:sz w:val="24"/>
          <w:szCs w:val="24"/>
        </w:rPr>
        <w:t xml:space="preserve"> </w:t>
      </w:r>
      <w:r w:rsidR="0028763D">
        <w:rPr>
          <w:rFonts w:ascii="Calibri" w:eastAsia="Calibri" w:hAnsi="Calibri" w:cs="Calibri"/>
          <w:sz w:val="24"/>
          <w:szCs w:val="24"/>
        </w:rPr>
        <w:t>(</w:t>
      </w:r>
      <w:r w:rsidR="0028763D" w:rsidRPr="0028763D">
        <w:rPr>
          <w:rFonts w:ascii="Calibri" w:eastAsia="Calibri" w:hAnsi="Calibri" w:cs="Calibri"/>
          <w:sz w:val="24"/>
          <w:szCs w:val="24"/>
        </w:rPr>
        <w:t>AFOLU</w:t>
      </w:r>
      <w:r w:rsidR="0028763D">
        <w:rPr>
          <w:rFonts w:ascii="Calibri" w:eastAsia="Calibri" w:hAnsi="Calibri" w:cs="Calibri"/>
          <w:sz w:val="24"/>
          <w:szCs w:val="24"/>
        </w:rPr>
        <w:t>)</w:t>
      </w:r>
      <w:r w:rsidRPr="000B0AC8">
        <w:rPr>
          <w:rFonts w:ascii="Calibri" w:eastAsia="Calibri" w:hAnsi="Calibri" w:cs="Calibri"/>
          <w:sz w:val="24"/>
          <w:szCs w:val="24"/>
        </w:rPr>
        <w:t xml:space="preserve"> est importante car il est le plus impacté par le changement climatique tout en étant le principal moteur de l’économie burkinabè et occupant environ 80% de la population.</w:t>
      </w:r>
      <w:r w:rsidR="00AA6FF9">
        <w:rPr>
          <w:rFonts w:ascii="Calibri" w:eastAsia="Calibri" w:hAnsi="Calibri" w:cs="Calibri"/>
          <w:sz w:val="24"/>
          <w:szCs w:val="24"/>
        </w:rPr>
        <w:t xml:space="preserve"> </w:t>
      </w:r>
      <w:r w:rsidRPr="000B0AC8">
        <w:rPr>
          <w:rFonts w:ascii="Calibri" w:eastAsia="Calibri" w:hAnsi="Calibri" w:cs="Calibri"/>
          <w:sz w:val="24"/>
          <w:szCs w:val="24"/>
        </w:rPr>
        <w:t>Les projets et programmes de ce domaine visent à augmenter le potentiel de production avec un impact positif sur la sécurité alimentaire, l’amélioration des revenus, la résilience des populations face au changement climatique, etc.</w:t>
      </w:r>
    </w:p>
    <w:p w14:paraId="3FBBD085" w14:textId="77777777" w:rsidR="00DD013D" w:rsidRPr="000B0AC8" w:rsidRDefault="00DD013D" w:rsidP="000B0AC8">
      <w:pPr>
        <w:spacing w:after="0" w:line="240" w:lineRule="auto"/>
        <w:jc w:val="both"/>
        <w:rPr>
          <w:rFonts w:ascii="Calibri" w:eastAsia="Calibri" w:hAnsi="Calibri" w:cs="Calibri"/>
          <w:sz w:val="24"/>
          <w:szCs w:val="24"/>
        </w:rPr>
      </w:pPr>
      <w:r w:rsidRPr="000B0AC8">
        <w:rPr>
          <w:rFonts w:ascii="Calibri" w:eastAsia="Calibri" w:hAnsi="Calibri" w:cs="Calibri"/>
          <w:sz w:val="24"/>
          <w:szCs w:val="24"/>
        </w:rPr>
        <w:t>Cependant, ils entrainent à moyen et long terme des réductions considérables des GES qui dépassent même les résultats des efforts d’atténuation.</w:t>
      </w:r>
    </w:p>
    <w:p w14:paraId="42CB6417" w14:textId="77777777" w:rsidR="00AA6FF9" w:rsidRDefault="00AA6FF9" w:rsidP="000B0AC8">
      <w:pPr>
        <w:pBdr>
          <w:top w:val="nil"/>
          <w:left w:val="nil"/>
          <w:bottom w:val="nil"/>
          <w:right w:val="nil"/>
          <w:between w:val="nil"/>
        </w:pBdr>
        <w:spacing w:after="0" w:line="240" w:lineRule="auto"/>
        <w:jc w:val="both"/>
        <w:rPr>
          <w:rFonts w:ascii="Calibri" w:eastAsia="Calibri" w:hAnsi="Calibri" w:cs="Calibri"/>
          <w:sz w:val="24"/>
          <w:szCs w:val="24"/>
        </w:rPr>
      </w:pPr>
    </w:p>
    <w:p w14:paraId="68760966" w14:textId="4AF4EA86" w:rsidR="00BF4FFB" w:rsidRPr="000B0AC8" w:rsidRDefault="00BF4FFB" w:rsidP="000B0AC8">
      <w:pPr>
        <w:pBdr>
          <w:top w:val="nil"/>
          <w:left w:val="nil"/>
          <w:bottom w:val="nil"/>
          <w:right w:val="nil"/>
          <w:between w:val="nil"/>
        </w:pBdr>
        <w:spacing w:after="0" w:line="240" w:lineRule="auto"/>
        <w:jc w:val="both"/>
        <w:rPr>
          <w:rFonts w:ascii="Calibri" w:eastAsia="Calibri" w:hAnsi="Calibri" w:cs="Calibri"/>
          <w:sz w:val="24"/>
          <w:szCs w:val="24"/>
        </w:rPr>
      </w:pPr>
      <w:r w:rsidRPr="000B0AC8">
        <w:rPr>
          <w:rFonts w:ascii="Calibri" w:eastAsia="Calibri" w:hAnsi="Calibri" w:cs="Calibri"/>
          <w:sz w:val="24"/>
          <w:szCs w:val="24"/>
        </w:rPr>
        <w:t>Les projets du domaine agriculture et ressources en eau sont estimé</w:t>
      </w:r>
      <w:r w:rsidR="0099733A">
        <w:rPr>
          <w:rFonts w:ascii="Calibri" w:eastAsia="Calibri" w:hAnsi="Calibri" w:cs="Calibri"/>
          <w:sz w:val="24"/>
          <w:szCs w:val="24"/>
        </w:rPr>
        <w:t>s</w:t>
      </w:r>
      <w:r w:rsidRPr="000B0AC8">
        <w:rPr>
          <w:rFonts w:ascii="Calibri" w:eastAsia="Calibri" w:hAnsi="Calibri" w:cs="Calibri"/>
          <w:sz w:val="24"/>
          <w:szCs w:val="24"/>
        </w:rPr>
        <w:t xml:space="preserve"> </w:t>
      </w:r>
      <w:r w:rsidR="00DD013D" w:rsidRPr="000B0AC8">
        <w:rPr>
          <w:rFonts w:ascii="Calibri" w:eastAsia="Calibri" w:hAnsi="Calibri" w:cs="Calibri"/>
          <w:sz w:val="24"/>
          <w:szCs w:val="24"/>
        </w:rPr>
        <w:t>à</w:t>
      </w:r>
      <w:r w:rsidRPr="000B0AC8">
        <w:rPr>
          <w:rFonts w:ascii="Calibri" w:eastAsia="Calibri" w:hAnsi="Calibri" w:cs="Calibri"/>
          <w:sz w:val="24"/>
          <w:szCs w:val="24"/>
        </w:rPr>
        <w:t xml:space="preserve"> un </w:t>
      </w:r>
      <w:r w:rsidRPr="000B0AC8">
        <w:rPr>
          <w:rFonts w:ascii="Calibri" w:eastAsia="Calibri" w:hAnsi="Calibri" w:cs="Calibri"/>
          <w:b/>
          <w:bCs/>
          <w:sz w:val="24"/>
          <w:szCs w:val="24"/>
        </w:rPr>
        <w:t>coût total de plus d’un billiard de FCF</w:t>
      </w:r>
      <w:r w:rsidRPr="0028763D">
        <w:rPr>
          <w:rFonts w:ascii="Calibri" w:eastAsia="Calibri" w:hAnsi="Calibri" w:cs="Calibri"/>
          <w:b/>
          <w:bCs/>
          <w:sz w:val="24"/>
          <w:szCs w:val="24"/>
        </w:rPr>
        <w:t>A </w:t>
      </w:r>
      <w:r w:rsidRPr="000B0AC8">
        <w:rPr>
          <w:rFonts w:ascii="Calibri" w:eastAsia="Calibri" w:hAnsi="Calibri" w:cs="Calibri"/>
          <w:sz w:val="24"/>
          <w:szCs w:val="24"/>
        </w:rPr>
        <w:t xml:space="preserve">et ils ont bénéficié </w:t>
      </w:r>
      <w:r w:rsidR="00DD013D" w:rsidRPr="000B0AC8">
        <w:rPr>
          <w:rFonts w:ascii="Calibri" w:eastAsia="Calibri" w:hAnsi="Calibri" w:cs="Calibri"/>
          <w:sz w:val="24"/>
          <w:szCs w:val="24"/>
        </w:rPr>
        <w:t>à</w:t>
      </w:r>
      <w:r w:rsidRPr="000B0AC8">
        <w:rPr>
          <w:rFonts w:ascii="Calibri" w:eastAsia="Calibri" w:hAnsi="Calibri" w:cs="Calibri"/>
          <w:sz w:val="24"/>
          <w:szCs w:val="24"/>
        </w:rPr>
        <w:t xml:space="preserve"> environ </w:t>
      </w:r>
      <w:r w:rsidRPr="000B0AC8">
        <w:rPr>
          <w:rFonts w:ascii="Calibri" w:eastAsia="Calibri" w:hAnsi="Calibri" w:cs="Calibri"/>
          <w:b/>
          <w:bCs/>
          <w:sz w:val="24"/>
          <w:szCs w:val="24"/>
        </w:rPr>
        <w:t>un million</w:t>
      </w:r>
      <w:r w:rsidR="00DD013D" w:rsidRPr="000B0AC8">
        <w:rPr>
          <w:rFonts w:ascii="Calibri" w:eastAsia="Calibri" w:hAnsi="Calibri" w:cs="Calibri"/>
          <w:b/>
          <w:bCs/>
          <w:sz w:val="24"/>
          <w:szCs w:val="24"/>
        </w:rPr>
        <w:t xml:space="preserve"> de</w:t>
      </w:r>
      <w:r w:rsidRPr="000B0AC8">
        <w:rPr>
          <w:rFonts w:ascii="Calibri" w:eastAsia="Calibri" w:hAnsi="Calibri" w:cs="Calibri"/>
          <w:b/>
          <w:bCs/>
          <w:sz w:val="24"/>
          <w:szCs w:val="24"/>
        </w:rPr>
        <w:t xml:space="preserve"> bénéficiaires directs</w:t>
      </w:r>
      <w:r w:rsidRPr="000B0AC8">
        <w:rPr>
          <w:rFonts w:ascii="Calibri" w:eastAsia="Calibri" w:hAnsi="Calibri" w:cs="Calibri"/>
          <w:sz w:val="24"/>
          <w:szCs w:val="24"/>
        </w:rPr>
        <w:t xml:space="preserve">, dont </w:t>
      </w:r>
      <w:r w:rsidRPr="000B0AC8">
        <w:rPr>
          <w:rFonts w:ascii="Calibri" w:eastAsia="Calibri" w:hAnsi="Calibri" w:cs="Calibri"/>
          <w:b/>
          <w:bCs/>
          <w:sz w:val="24"/>
          <w:szCs w:val="24"/>
        </w:rPr>
        <w:t>17% à 50,5% sont des femmes</w:t>
      </w:r>
      <w:r w:rsidRPr="000B0AC8">
        <w:rPr>
          <w:rFonts w:ascii="Calibri" w:eastAsia="Calibri" w:hAnsi="Calibri" w:cs="Calibri"/>
          <w:sz w:val="24"/>
          <w:szCs w:val="24"/>
        </w:rPr>
        <w:t xml:space="preserve"> (selon le</w:t>
      </w:r>
      <w:r w:rsidR="00DD013D" w:rsidRPr="000B0AC8">
        <w:rPr>
          <w:rFonts w:ascii="Calibri" w:eastAsia="Calibri" w:hAnsi="Calibri" w:cs="Calibri"/>
          <w:sz w:val="24"/>
          <w:szCs w:val="24"/>
        </w:rPr>
        <w:t>s</w:t>
      </w:r>
      <w:r w:rsidRPr="000B0AC8">
        <w:rPr>
          <w:rFonts w:ascii="Calibri" w:eastAsia="Calibri" w:hAnsi="Calibri" w:cs="Calibri"/>
          <w:sz w:val="24"/>
          <w:szCs w:val="24"/>
        </w:rPr>
        <w:t xml:space="preserve"> produits). Le taux de réalisation physique est en moyenne de </w:t>
      </w:r>
      <w:r w:rsidRPr="000B0AC8">
        <w:rPr>
          <w:rFonts w:ascii="Calibri" w:eastAsia="Calibri" w:hAnsi="Calibri" w:cs="Calibri"/>
          <w:b/>
          <w:bCs/>
          <w:sz w:val="24"/>
          <w:szCs w:val="24"/>
        </w:rPr>
        <w:t>67,6%</w:t>
      </w:r>
      <w:r w:rsidRPr="000B0AC8">
        <w:rPr>
          <w:rFonts w:ascii="Calibri" w:eastAsia="Calibri" w:hAnsi="Calibri" w:cs="Calibri"/>
          <w:sz w:val="24"/>
          <w:szCs w:val="24"/>
        </w:rPr>
        <w:t xml:space="preserve"> et le taux d’exécution financière est en moyenne à </w:t>
      </w:r>
      <w:r w:rsidRPr="000B0AC8">
        <w:rPr>
          <w:rFonts w:ascii="Calibri" w:eastAsia="Calibri" w:hAnsi="Calibri" w:cs="Calibri"/>
          <w:b/>
          <w:bCs/>
          <w:sz w:val="24"/>
          <w:szCs w:val="24"/>
        </w:rPr>
        <w:t>66,6%</w:t>
      </w:r>
      <w:r w:rsidR="00AA6FF9">
        <w:rPr>
          <w:rFonts w:ascii="Calibri" w:eastAsia="Calibri" w:hAnsi="Calibri" w:cs="Calibri"/>
          <w:b/>
          <w:bCs/>
          <w:sz w:val="24"/>
          <w:szCs w:val="24"/>
        </w:rPr>
        <w:t>.</w:t>
      </w:r>
    </w:p>
    <w:p w14:paraId="68A1A809" w14:textId="13266052" w:rsidR="00BF4FFB" w:rsidRPr="000B0AC8" w:rsidRDefault="00BF4FFB" w:rsidP="000B0AC8">
      <w:pPr>
        <w:pBdr>
          <w:top w:val="nil"/>
          <w:left w:val="nil"/>
          <w:bottom w:val="nil"/>
          <w:right w:val="nil"/>
          <w:between w:val="nil"/>
        </w:pBdr>
        <w:spacing w:after="0" w:line="240" w:lineRule="auto"/>
        <w:jc w:val="both"/>
        <w:rPr>
          <w:rFonts w:ascii="Calibri" w:eastAsia="Calibri" w:hAnsi="Calibri" w:cs="Calibri"/>
          <w:sz w:val="24"/>
          <w:szCs w:val="24"/>
        </w:rPr>
      </w:pPr>
      <w:r w:rsidRPr="000B0AC8">
        <w:rPr>
          <w:rFonts w:ascii="Calibri" w:eastAsia="Calibri" w:hAnsi="Calibri" w:cs="Calibri"/>
          <w:sz w:val="24"/>
          <w:szCs w:val="24"/>
        </w:rPr>
        <w:t>Dans le sc</w:t>
      </w:r>
      <w:r w:rsidR="00DD013D" w:rsidRPr="000B0AC8">
        <w:rPr>
          <w:rFonts w:ascii="Calibri" w:eastAsia="Calibri" w:hAnsi="Calibri" w:cs="Calibri"/>
          <w:sz w:val="24"/>
          <w:szCs w:val="24"/>
        </w:rPr>
        <w:t>é</w:t>
      </w:r>
      <w:r w:rsidRPr="000B0AC8">
        <w:rPr>
          <w:rFonts w:ascii="Calibri" w:eastAsia="Calibri" w:hAnsi="Calibri" w:cs="Calibri"/>
          <w:sz w:val="24"/>
          <w:szCs w:val="24"/>
        </w:rPr>
        <w:t xml:space="preserve">nario inconditionnel, l’exécution des projets et programmes inscrits dans le domaine agriculture foresterie-utilisation des terres (AFOLU) de la CDN a permis de séquestrer </w:t>
      </w:r>
      <w:r w:rsidRPr="000B0AC8">
        <w:rPr>
          <w:rFonts w:ascii="Calibri" w:eastAsia="Calibri" w:hAnsi="Calibri" w:cs="Calibri"/>
          <w:b/>
          <w:bCs/>
          <w:sz w:val="24"/>
          <w:szCs w:val="24"/>
        </w:rPr>
        <w:t xml:space="preserve">– 4 718 138 TéqCO2, </w:t>
      </w:r>
      <w:r w:rsidRPr="000B0AC8">
        <w:rPr>
          <w:rFonts w:ascii="Calibri" w:eastAsia="Calibri" w:hAnsi="Calibri" w:cs="Calibri"/>
          <w:sz w:val="24"/>
          <w:szCs w:val="24"/>
        </w:rPr>
        <w:t xml:space="preserve">enregistrant une performance de </w:t>
      </w:r>
      <w:r w:rsidRPr="00AA6FF9">
        <w:rPr>
          <w:rFonts w:ascii="Calibri" w:eastAsia="Calibri" w:hAnsi="Calibri" w:cs="Calibri"/>
          <w:b/>
          <w:bCs/>
          <w:sz w:val="24"/>
          <w:szCs w:val="24"/>
        </w:rPr>
        <w:t>98,8%</w:t>
      </w:r>
      <w:r w:rsidRPr="000B0AC8">
        <w:rPr>
          <w:rFonts w:ascii="Calibri" w:eastAsia="Calibri" w:hAnsi="Calibri" w:cs="Calibri"/>
          <w:sz w:val="24"/>
          <w:szCs w:val="24"/>
        </w:rPr>
        <w:t xml:space="preserve"> par rapport </w:t>
      </w:r>
      <w:r w:rsidR="00DD013D" w:rsidRPr="000B0AC8">
        <w:rPr>
          <w:rFonts w:ascii="Calibri" w:eastAsia="Calibri" w:hAnsi="Calibri" w:cs="Calibri"/>
          <w:sz w:val="24"/>
          <w:szCs w:val="24"/>
        </w:rPr>
        <w:t>à</w:t>
      </w:r>
      <w:r w:rsidRPr="000B0AC8">
        <w:rPr>
          <w:rFonts w:ascii="Calibri" w:eastAsia="Calibri" w:hAnsi="Calibri" w:cs="Calibri"/>
          <w:sz w:val="24"/>
          <w:szCs w:val="24"/>
        </w:rPr>
        <w:t xml:space="preserve"> la cible définie. Les projets et programmes du scénario conditionnel ont été partiellement exécutés et ont seulement permis de séquestrer </w:t>
      </w:r>
      <w:r w:rsidRPr="00AA6FF9">
        <w:rPr>
          <w:rFonts w:ascii="Calibri" w:eastAsia="Calibri" w:hAnsi="Calibri" w:cs="Calibri"/>
          <w:b/>
          <w:bCs/>
          <w:sz w:val="24"/>
          <w:szCs w:val="24"/>
        </w:rPr>
        <w:t>2 605 Gg éqCO2, soit un taux de réalisation de 24,7%</w:t>
      </w:r>
      <w:r w:rsidRPr="000B0AC8">
        <w:rPr>
          <w:rFonts w:ascii="Calibri" w:eastAsia="Calibri" w:hAnsi="Calibri" w:cs="Calibri"/>
          <w:sz w:val="24"/>
          <w:szCs w:val="24"/>
        </w:rPr>
        <w:t xml:space="preserve"> de la cible</w:t>
      </w:r>
      <w:r w:rsidR="00AA6FF9">
        <w:rPr>
          <w:rFonts w:ascii="Calibri" w:eastAsia="Calibri" w:hAnsi="Calibri" w:cs="Calibri"/>
          <w:sz w:val="24"/>
          <w:szCs w:val="24"/>
        </w:rPr>
        <w:t>.</w:t>
      </w:r>
    </w:p>
    <w:p w14:paraId="6826ED43" w14:textId="45238C85" w:rsidR="00BF4FFB" w:rsidRPr="00AA6FF9" w:rsidRDefault="00BF4FFB" w:rsidP="000B0AC8">
      <w:pPr>
        <w:spacing w:after="0" w:line="240" w:lineRule="auto"/>
        <w:jc w:val="both"/>
        <w:rPr>
          <w:rFonts w:ascii="Calibri" w:eastAsia="Calibri" w:hAnsi="Calibri" w:cs="Calibri"/>
          <w:b/>
          <w:bCs/>
          <w:sz w:val="24"/>
          <w:szCs w:val="24"/>
        </w:rPr>
      </w:pPr>
      <w:r w:rsidRPr="000B0AC8">
        <w:rPr>
          <w:rFonts w:ascii="Calibri" w:eastAsia="Calibri" w:hAnsi="Calibri" w:cs="Calibri"/>
          <w:sz w:val="24"/>
          <w:szCs w:val="24"/>
        </w:rPr>
        <w:lastRenderedPageBreak/>
        <w:t xml:space="preserve">Le scénario Adaptation vise entre autres à restaurer et aménager </w:t>
      </w:r>
      <w:r w:rsidRPr="00AA6FF9">
        <w:rPr>
          <w:rFonts w:ascii="Calibri" w:eastAsia="Calibri" w:hAnsi="Calibri" w:cs="Calibri"/>
          <w:b/>
          <w:bCs/>
          <w:sz w:val="24"/>
          <w:szCs w:val="24"/>
        </w:rPr>
        <w:t>5,055 millions d’ha de terres</w:t>
      </w:r>
      <w:r w:rsidRPr="000B0AC8">
        <w:rPr>
          <w:rFonts w:ascii="Calibri" w:eastAsia="Calibri" w:hAnsi="Calibri" w:cs="Calibri"/>
          <w:sz w:val="24"/>
          <w:szCs w:val="24"/>
        </w:rPr>
        <w:t xml:space="preserve"> dégradées à l’horizon 2030, au profit des hommes et des femmes, correspondant à </w:t>
      </w:r>
      <w:r w:rsidRPr="00AA6FF9">
        <w:rPr>
          <w:rFonts w:ascii="Calibri" w:eastAsia="Calibri" w:hAnsi="Calibri" w:cs="Calibri"/>
          <w:b/>
          <w:bCs/>
          <w:sz w:val="24"/>
          <w:szCs w:val="24"/>
        </w:rPr>
        <w:t>55%</w:t>
      </w:r>
      <w:r w:rsidRPr="000B0AC8">
        <w:rPr>
          <w:rFonts w:ascii="Calibri" w:eastAsia="Calibri" w:hAnsi="Calibri" w:cs="Calibri"/>
          <w:sz w:val="24"/>
          <w:szCs w:val="24"/>
        </w:rPr>
        <w:t xml:space="preserve"> de la superficie totale actuelle des terres dégradées pour nourrir près de 6 millions de personnes supplémentaires à l’horizon 2030. Ces projets d’adaptation devraient contribuer à réduire les émissions de GES de </w:t>
      </w:r>
      <w:r w:rsidRPr="00AA6FF9">
        <w:rPr>
          <w:rFonts w:ascii="Calibri" w:eastAsia="Calibri" w:hAnsi="Calibri" w:cs="Calibri"/>
          <w:b/>
          <w:bCs/>
          <w:sz w:val="24"/>
          <w:szCs w:val="24"/>
        </w:rPr>
        <w:t>43 707Gg de CO2, soit 36,95 %</w:t>
      </w:r>
      <w:r w:rsidRPr="000B0AC8">
        <w:rPr>
          <w:rFonts w:ascii="Calibri" w:eastAsia="Calibri" w:hAnsi="Calibri" w:cs="Calibri"/>
          <w:sz w:val="24"/>
          <w:szCs w:val="24"/>
        </w:rPr>
        <w:t xml:space="preserve"> par référence au</w:t>
      </w:r>
      <w:r w:rsidR="00E76679">
        <w:rPr>
          <w:rFonts w:ascii="Calibri" w:eastAsia="Calibri" w:hAnsi="Calibri" w:cs="Calibri"/>
          <w:sz w:val="24"/>
          <w:szCs w:val="24"/>
        </w:rPr>
        <w:t xml:space="preserve"> </w:t>
      </w:r>
      <w:r w:rsidR="00E76679" w:rsidRPr="000B0AC8">
        <w:rPr>
          <w:rFonts w:ascii="Calibri" w:eastAsia="Calibri" w:hAnsi="Calibri" w:cs="Calibri"/>
          <w:color w:val="000000"/>
          <w:sz w:val="24"/>
          <w:szCs w:val="24"/>
        </w:rPr>
        <w:t>scénario tendanciel</w:t>
      </w:r>
      <w:r w:rsidRPr="000B0AC8">
        <w:rPr>
          <w:rFonts w:ascii="Calibri" w:eastAsia="Calibri" w:hAnsi="Calibri" w:cs="Calibri"/>
          <w:sz w:val="24"/>
          <w:szCs w:val="24"/>
        </w:rPr>
        <w:t xml:space="preserve">, pour un investissement total de </w:t>
      </w:r>
      <w:r w:rsidRPr="00AA6FF9">
        <w:rPr>
          <w:rFonts w:ascii="Calibri" w:eastAsia="Calibri" w:hAnsi="Calibri" w:cs="Calibri"/>
          <w:b/>
          <w:bCs/>
          <w:sz w:val="24"/>
          <w:szCs w:val="24"/>
        </w:rPr>
        <w:t>mUSD 5.8</w:t>
      </w:r>
      <w:r w:rsidRPr="000B0AC8">
        <w:rPr>
          <w:rFonts w:ascii="Calibri" w:eastAsia="Calibri" w:hAnsi="Calibri" w:cs="Calibri"/>
          <w:sz w:val="24"/>
          <w:szCs w:val="24"/>
        </w:rPr>
        <w:t xml:space="preserve">. Les </w:t>
      </w:r>
      <w:r w:rsidR="00AA6FF9">
        <w:rPr>
          <w:rFonts w:ascii="Calibri" w:eastAsia="Calibri" w:hAnsi="Calibri" w:cs="Calibri"/>
          <w:sz w:val="24"/>
          <w:szCs w:val="24"/>
        </w:rPr>
        <w:t>p</w:t>
      </w:r>
      <w:r w:rsidRPr="000B0AC8">
        <w:rPr>
          <w:rFonts w:ascii="Calibri" w:eastAsia="Calibri" w:hAnsi="Calibri" w:cs="Calibri"/>
          <w:sz w:val="24"/>
          <w:szCs w:val="24"/>
        </w:rPr>
        <w:t>r</w:t>
      </w:r>
      <w:r w:rsidR="00AA6FF9">
        <w:rPr>
          <w:rFonts w:ascii="Calibri" w:eastAsia="Calibri" w:hAnsi="Calibri" w:cs="Calibri"/>
          <w:sz w:val="24"/>
          <w:szCs w:val="24"/>
        </w:rPr>
        <w:t>o</w:t>
      </w:r>
      <w:r w:rsidRPr="000B0AC8">
        <w:rPr>
          <w:rFonts w:ascii="Calibri" w:eastAsia="Calibri" w:hAnsi="Calibri" w:cs="Calibri"/>
          <w:sz w:val="24"/>
          <w:szCs w:val="24"/>
        </w:rPr>
        <w:t xml:space="preserve">jets évalués ont relevé une </w:t>
      </w:r>
      <w:r w:rsidR="00AA6FF9" w:rsidRPr="000B0AC8">
        <w:rPr>
          <w:rFonts w:ascii="Calibri" w:eastAsia="Calibri" w:hAnsi="Calibri" w:cs="Calibri"/>
          <w:sz w:val="24"/>
          <w:szCs w:val="24"/>
        </w:rPr>
        <w:t>séquestration</w:t>
      </w:r>
      <w:r w:rsidRPr="000B0AC8">
        <w:rPr>
          <w:rFonts w:ascii="Calibri" w:eastAsia="Calibri" w:hAnsi="Calibri" w:cs="Calibri"/>
          <w:sz w:val="24"/>
          <w:szCs w:val="24"/>
        </w:rPr>
        <w:t xml:space="preserve"> de </w:t>
      </w:r>
      <w:r w:rsidRPr="00AA6FF9">
        <w:rPr>
          <w:rFonts w:ascii="Calibri" w:eastAsia="Calibri" w:hAnsi="Calibri" w:cs="Calibri"/>
          <w:b/>
          <w:bCs/>
          <w:sz w:val="24"/>
          <w:szCs w:val="24"/>
        </w:rPr>
        <w:t>-38 897,95 Gg CO2eq.</w:t>
      </w:r>
    </w:p>
    <w:p w14:paraId="57E76738" w14:textId="77777777" w:rsidR="00BF4FFB" w:rsidRPr="000B0AC8" w:rsidRDefault="00BF4FFB" w:rsidP="00BF4FFB">
      <w:pPr>
        <w:spacing w:line="240" w:lineRule="auto"/>
        <w:jc w:val="both"/>
        <w:rPr>
          <w:rFonts w:ascii="Calibri" w:eastAsia="Calibri" w:hAnsi="Calibri" w:cs="Calibri"/>
          <w:sz w:val="24"/>
          <w:szCs w:val="24"/>
        </w:rPr>
      </w:pPr>
    </w:p>
    <w:p w14:paraId="238ACC0F" w14:textId="32D742EC" w:rsidR="00BF4FFB" w:rsidRPr="000B0AC8" w:rsidRDefault="00BF4FFB" w:rsidP="000B0AC8">
      <w:pPr>
        <w:spacing w:after="0" w:line="240" w:lineRule="auto"/>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Energie</w:t>
      </w:r>
      <w:r w:rsidR="001F0FF0" w:rsidRPr="000B0AC8">
        <w:rPr>
          <w:rFonts w:ascii="Calibri" w:eastAsia="Calibri" w:hAnsi="Calibri" w:cs="Calibri"/>
          <w:color w:val="93DE61" w:themeColor="accent2" w:themeTint="99"/>
          <w:sz w:val="28"/>
          <w:szCs w:val="28"/>
        </w:rPr>
        <w:t> :</w:t>
      </w:r>
    </w:p>
    <w:p w14:paraId="386A44F3" w14:textId="57326B9C" w:rsidR="00BF4FFB" w:rsidRPr="000B0AC8" w:rsidRDefault="00BF4FFB" w:rsidP="000B0AC8">
      <w:pPr>
        <w:pBdr>
          <w:top w:val="nil"/>
          <w:left w:val="nil"/>
          <w:bottom w:val="nil"/>
          <w:right w:val="nil"/>
          <w:between w:val="nil"/>
        </w:pBdr>
        <w:spacing w:after="0" w:line="240" w:lineRule="auto"/>
        <w:jc w:val="both"/>
        <w:rPr>
          <w:rFonts w:ascii="Calibri" w:eastAsia="Calibri" w:hAnsi="Calibri" w:cs="Calibri"/>
          <w:sz w:val="24"/>
          <w:szCs w:val="24"/>
        </w:rPr>
      </w:pPr>
      <w:r w:rsidRPr="000B0AC8">
        <w:rPr>
          <w:rFonts w:ascii="Calibri" w:eastAsia="Calibri" w:hAnsi="Calibri" w:cs="Calibri"/>
          <w:sz w:val="24"/>
          <w:szCs w:val="24"/>
        </w:rPr>
        <w:t>Les projets évalués dans le domaine de l’énergie ont pour objectif principal l’augmentation de la part des énergies renouvelables dans la production d’électricité au Burkina Faso et l’économie d’énergie par l’utilisation d’équipements efficients</w:t>
      </w:r>
      <w:r w:rsidR="00AA6FF9">
        <w:rPr>
          <w:rFonts w:ascii="Calibri" w:eastAsia="Calibri" w:hAnsi="Calibri" w:cs="Calibri"/>
          <w:sz w:val="24"/>
          <w:szCs w:val="24"/>
        </w:rPr>
        <w:t>.</w:t>
      </w:r>
    </w:p>
    <w:p w14:paraId="54E94F2F" w14:textId="44571624" w:rsidR="00BF4FFB" w:rsidRPr="000B0AC8" w:rsidRDefault="00BF4FFB" w:rsidP="000B0AC8">
      <w:pPr>
        <w:pBdr>
          <w:top w:val="nil"/>
          <w:left w:val="nil"/>
          <w:bottom w:val="nil"/>
          <w:right w:val="nil"/>
          <w:between w:val="nil"/>
        </w:pBdr>
        <w:spacing w:after="0" w:line="240" w:lineRule="auto"/>
        <w:jc w:val="both"/>
        <w:rPr>
          <w:rFonts w:ascii="Calibri" w:eastAsia="Calibri" w:hAnsi="Calibri" w:cs="Calibri"/>
          <w:sz w:val="24"/>
          <w:szCs w:val="24"/>
        </w:rPr>
      </w:pPr>
      <w:r w:rsidRPr="000B0AC8">
        <w:rPr>
          <w:rFonts w:ascii="Calibri" w:eastAsia="Calibri" w:hAnsi="Calibri" w:cs="Calibri"/>
          <w:sz w:val="24"/>
          <w:szCs w:val="24"/>
        </w:rPr>
        <w:t xml:space="preserve">La réalisation physique des projets du scénario conditionnel </w:t>
      </w:r>
      <w:r w:rsidRPr="00AA6FF9">
        <w:rPr>
          <w:rFonts w:ascii="Calibri" w:eastAsia="Calibri" w:hAnsi="Calibri" w:cs="Calibri"/>
          <w:b/>
          <w:bCs/>
          <w:sz w:val="24"/>
          <w:szCs w:val="24"/>
        </w:rPr>
        <w:t>(26,7%)</w:t>
      </w:r>
      <w:r w:rsidRPr="000B0AC8">
        <w:rPr>
          <w:rFonts w:ascii="Calibri" w:eastAsia="Calibri" w:hAnsi="Calibri" w:cs="Calibri"/>
          <w:sz w:val="24"/>
          <w:szCs w:val="24"/>
        </w:rPr>
        <w:t xml:space="preserve"> dépasse la réalisation physique des projets du scénario inconditionnel </w:t>
      </w:r>
      <w:r w:rsidRPr="00AA6FF9">
        <w:rPr>
          <w:rFonts w:ascii="Calibri" w:eastAsia="Calibri" w:hAnsi="Calibri" w:cs="Calibri"/>
          <w:b/>
          <w:bCs/>
          <w:sz w:val="24"/>
          <w:szCs w:val="24"/>
        </w:rPr>
        <w:t>(9.1%)</w:t>
      </w:r>
      <w:r w:rsidRPr="00FD3448">
        <w:rPr>
          <w:rFonts w:ascii="Calibri" w:eastAsia="Calibri" w:hAnsi="Calibri" w:cs="Calibri"/>
          <w:sz w:val="24"/>
          <w:szCs w:val="24"/>
        </w:rPr>
        <w:t>,</w:t>
      </w:r>
      <w:r w:rsidRPr="000B0AC8">
        <w:rPr>
          <w:rFonts w:ascii="Calibri" w:eastAsia="Calibri" w:hAnsi="Calibri" w:cs="Calibri"/>
          <w:sz w:val="24"/>
          <w:szCs w:val="24"/>
        </w:rPr>
        <w:t xml:space="preserve"> tandis que l’analyse de l’exécution financière n’est pas pertinente en raison de la difficulté d’accès aux données financières des porteurs de projets, souvent du secteur privé</w:t>
      </w:r>
      <w:r w:rsidR="00AA6FF9">
        <w:rPr>
          <w:rFonts w:ascii="Calibri" w:eastAsia="Calibri" w:hAnsi="Calibri" w:cs="Calibri"/>
          <w:sz w:val="24"/>
          <w:szCs w:val="24"/>
        </w:rPr>
        <w:t>.</w:t>
      </w:r>
    </w:p>
    <w:p w14:paraId="126C17E0" w14:textId="77777777" w:rsidR="00D0052F" w:rsidRPr="000B0AC8" w:rsidRDefault="00D0052F" w:rsidP="001F0FF0">
      <w:pPr>
        <w:spacing w:after="0" w:line="240" w:lineRule="auto"/>
        <w:jc w:val="both"/>
        <w:rPr>
          <w:rFonts w:ascii="Calibri" w:eastAsia="Calibri" w:hAnsi="Calibri" w:cs="Calibri"/>
          <w:sz w:val="24"/>
          <w:szCs w:val="24"/>
        </w:rPr>
      </w:pPr>
      <w:r w:rsidRPr="000B0AC8">
        <w:rPr>
          <w:rFonts w:ascii="Calibri" w:eastAsia="Calibri" w:hAnsi="Calibri" w:cs="Calibri"/>
          <w:sz w:val="24"/>
          <w:szCs w:val="24"/>
        </w:rPr>
        <w:t xml:space="preserve">Dans le domaine de l’énergie, les cibles de la CDN n’ont pas été atteintes, car sur les 34 projets évalués, seulement 9 ont abouti. En termes de réduction de GES, sur un total de </w:t>
      </w:r>
      <w:r w:rsidRPr="00AA6FF9">
        <w:rPr>
          <w:rFonts w:ascii="Calibri" w:eastAsia="Calibri" w:hAnsi="Calibri" w:cs="Calibri"/>
          <w:sz w:val="24"/>
          <w:szCs w:val="24"/>
        </w:rPr>
        <w:t xml:space="preserve">443,21 GgCO2eq </w:t>
      </w:r>
      <w:r w:rsidRPr="000B0AC8">
        <w:rPr>
          <w:rFonts w:ascii="Calibri" w:eastAsia="Calibri" w:hAnsi="Calibri" w:cs="Calibri"/>
          <w:sz w:val="24"/>
          <w:szCs w:val="24"/>
        </w:rPr>
        <w:t xml:space="preserve">prévues en 2015, </w:t>
      </w:r>
      <w:r w:rsidRPr="00AA6FF9">
        <w:rPr>
          <w:rFonts w:ascii="Calibri" w:eastAsia="Calibri" w:hAnsi="Calibri" w:cs="Calibri"/>
          <w:b/>
          <w:bCs/>
          <w:sz w:val="24"/>
          <w:szCs w:val="24"/>
        </w:rPr>
        <w:t>172,02 GgCO2eq de réduction</w:t>
      </w:r>
      <w:r w:rsidRPr="000B0AC8">
        <w:rPr>
          <w:rFonts w:ascii="Calibri" w:eastAsia="Calibri" w:hAnsi="Calibri" w:cs="Calibri"/>
          <w:sz w:val="24"/>
          <w:szCs w:val="24"/>
        </w:rPr>
        <w:t xml:space="preserve"> a été réalisé à la date du 31 décembre 2019 ; soit </w:t>
      </w:r>
      <w:r w:rsidRPr="00AA6FF9">
        <w:rPr>
          <w:rFonts w:ascii="Calibri" w:eastAsia="Calibri" w:hAnsi="Calibri" w:cs="Calibri"/>
          <w:b/>
          <w:bCs/>
          <w:sz w:val="24"/>
          <w:szCs w:val="24"/>
        </w:rPr>
        <w:t>38,8%</w:t>
      </w:r>
      <w:r w:rsidRPr="000B0AC8">
        <w:rPr>
          <w:rFonts w:ascii="Calibri" w:eastAsia="Calibri" w:hAnsi="Calibri" w:cs="Calibri"/>
          <w:sz w:val="24"/>
          <w:szCs w:val="24"/>
        </w:rPr>
        <w:t xml:space="preserve"> des prévisions.  Ainsi, ce volet constitue un point d’attention pour la future CDN. </w:t>
      </w:r>
    </w:p>
    <w:p w14:paraId="619C3BCF" w14:textId="77777777" w:rsidR="001F0FF0" w:rsidRPr="000B0AC8" w:rsidRDefault="001F0FF0" w:rsidP="000B0AC8">
      <w:pPr>
        <w:spacing w:after="0" w:line="240" w:lineRule="auto"/>
        <w:jc w:val="both"/>
        <w:rPr>
          <w:rFonts w:ascii="Calibri" w:eastAsia="Calibri" w:hAnsi="Calibri" w:cs="Calibri"/>
          <w:sz w:val="24"/>
          <w:szCs w:val="24"/>
        </w:rPr>
      </w:pPr>
    </w:p>
    <w:p w14:paraId="41FE771C" w14:textId="09FCAE67" w:rsidR="004936A4" w:rsidRPr="000B0AC8" w:rsidRDefault="00BF4FFB" w:rsidP="000B0AC8">
      <w:pPr>
        <w:spacing w:after="0" w:line="240" w:lineRule="auto"/>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 xml:space="preserve">Transport, météorologie, </w:t>
      </w:r>
      <w:r w:rsidR="001F0FF0" w:rsidRPr="000B0AC8">
        <w:rPr>
          <w:rFonts w:ascii="Calibri" w:eastAsia="Calibri" w:hAnsi="Calibri" w:cs="Calibri"/>
          <w:color w:val="93DE61" w:themeColor="accent2" w:themeTint="99"/>
          <w:sz w:val="28"/>
          <w:szCs w:val="28"/>
        </w:rPr>
        <w:t>h</w:t>
      </w:r>
      <w:r w:rsidRPr="000B0AC8">
        <w:rPr>
          <w:rFonts w:ascii="Calibri" w:eastAsia="Calibri" w:hAnsi="Calibri" w:cs="Calibri"/>
          <w:color w:val="93DE61" w:themeColor="accent2" w:themeTint="99"/>
          <w:sz w:val="28"/>
          <w:szCs w:val="28"/>
        </w:rPr>
        <w:t>abitat et urbanisme, santé</w:t>
      </w:r>
      <w:r w:rsidR="001F0FF0" w:rsidRPr="000B0AC8">
        <w:rPr>
          <w:rFonts w:ascii="Calibri" w:eastAsia="Calibri" w:hAnsi="Calibri" w:cs="Calibri"/>
          <w:color w:val="93DE61" w:themeColor="accent2" w:themeTint="99"/>
          <w:sz w:val="28"/>
          <w:szCs w:val="28"/>
        </w:rPr>
        <w:t> :</w:t>
      </w:r>
    </w:p>
    <w:p w14:paraId="63AF5DFC" w14:textId="6E387830" w:rsidR="00BF4FFB" w:rsidRPr="006F3B84" w:rsidRDefault="00BF4FFB" w:rsidP="000B0AC8">
      <w:pPr>
        <w:spacing w:after="0" w:line="240" w:lineRule="auto"/>
        <w:jc w:val="both"/>
        <w:rPr>
          <w:rFonts w:ascii="Calibri" w:eastAsia="Calibri" w:hAnsi="Calibri" w:cs="Calibri"/>
          <w:sz w:val="24"/>
          <w:szCs w:val="24"/>
        </w:rPr>
      </w:pPr>
      <w:r w:rsidRPr="006F3B84">
        <w:rPr>
          <w:rFonts w:ascii="Calibri" w:hAnsi="Calibri" w:cs="Calibri"/>
        </w:rPr>
        <w:t xml:space="preserve">Les </w:t>
      </w:r>
      <w:r w:rsidRPr="006F3B84">
        <w:rPr>
          <w:rFonts w:ascii="Calibri" w:eastAsia="Calibri" w:hAnsi="Calibri" w:cs="Calibri"/>
          <w:sz w:val="24"/>
          <w:szCs w:val="24"/>
        </w:rPr>
        <w:t xml:space="preserve">projets inconditionnels du secteur de transport ont été exécuté à hauteur de </w:t>
      </w:r>
      <w:r w:rsidRPr="006F3B84">
        <w:rPr>
          <w:rFonts w:ascii="Calibri" w:eastAsia="Calibri" w:hAnsi="Calibri" w:cs="Calibri"/>
          <w:b/>
          <w:bCs/>
          <w:sz w:val="24"/>
          <w:szCs w:val="24"/>
        </w:rPr>
        <w:t xml:space="preserve">50%, </w:t>
      </w:r>
      <w:r w:rsidRPr="006F3B84">
        <w:rPr>
          <w:rFonts w:ascii="Calibri" w:eastAsia="Calibri" w:hAnsi="Calibri" w:cs="Calibri"/>
          <w:sz w:val="24"/>
          <w:szCs w:val="24"/>
        </w:rPr>
        <w:t xml:space="preserve">sachant que les projets conditionnels du même secteur n’ont affiché aucune avancée. </w:t>
      </w:r>
    </w:p>
    <w:p w14:paraId="52A49E3F" w14:textId="2854BB5E" w:rsidR="00BF4FFB" w:rsidRPr="006F3B84" w:rsidRDefault="00BF4FFB" w:rsidP="000B0AC8">
      <w:pPr>
        <w:spacing w:after="0" w:line="240" w:lineRule="auto"/>
        <w:jc w:val="both"/>
        <w:rPr>
          <w:rFonts w:ascii="Calibri" w:eastAsia="Calibri" w:hAnsi="Calibri" w:cs="Calibri"/>
          <w:sz w:val="24"/>
          <w:szCs w:val="24"/>
        </w:rPr>
      </w:pPr>
      <w:r w:rsidRPr="006F3B84">
        <w:rPr>
          <w:rFonts w:ascii="Calibri" w:eastAsia="Calibri" w:hAnsi="Calibri" w:cs="Calibri"/>
          <w:sz w:val="24"/>
          <w:szCs w:val="24"/>
        </w:rPr>
        <w:t xml:space="preserve">L’exécution des projets a permis d’améliorer la qualité de l’offre de transport en commun au profit des </w:t>
      </w:r>
      <w:r w:rsidRPr="006F3B84">
        <w:rPr>
          <w:rFonts w:ascii="Calibri" w:eastAsia="Calibri" w:hAnsi="Calibri" w:cs="Calibri"/>
          <w:b/>
          <w:bCs/>
          <w:sz w:val="24"/>
          <w:szCs w:val="24"/>
        </w:rPr>
        <w:t>1 650 0001 usagers</w:t>
      </w:r>
      <w:r w:rsidRPr="006F3B84">
        <w:rPr>
          <w:rFonts w:ascii="Calibri" w:eastAsia="Calibri" w:hAnsi="Calibri" w:cs="Calibri"/>
          <w:sz w:val="24"/>
          <w:szCs w:val="24"/>
        </w:rPr>
        <w:t xml:space="preserve"> de la SOTRACO en 2018. En outre le nombre d'usagers sur la ligne 3 sujette aux travaux, a augmenté de </w:t>
      </w:r>
      <w:r w:rsidRPr="006F3B84">
        <w:rPr>
          <w:rFonts w:ascii="Calibri" w:eastAsia="Calibri" w:hAnsi="Calibri" w:cs="Calibri"/>
          <w:b/>
          <w:bCs/>
          <w:sz w:val="24"/>
          <w:szCs w:val="24"/>
        </w:rPr>
        <w:t>7,5%</w:t>
      </w:r>
      <w:r w:rsidRPr="006F3B84">
        <w:rPr>
          <w:rFonts w:ascii="Calibri" w:eastAsia="Calibri" w:hAnsi="Calibri" w:cs="Calibri"/>
          <w:sz w:val="24"/>
          <w:szCs w:val="24"/>
        </w:rPr>
        <w:t xml:space="preserve"> comparé aux taux enregistrés sur d'autres itinéraires de la SOTRACO.</w:t>
      </w:r>
      <w:r w:rsidR="00E62180">
        <w:rPr>
          <w:rFonts w:ascii="Calibri" w:eastAsia="Calibri" w:hAnsi="Calibri" w:cs="Calibri"/>
          <w:sz w:val="24"/>
          <w:szCs w:val="24"/>
        </w:rPr>
        <w:t xml:space="preserve"> Ces projets ont </w:t>
      </w:r>
      <w:r w:rsidR="00E62180" w:rsidRPr="00E62180">
        <w:rPr>
          <w:rFonts w:ascii="Calibri" w:eastAsia="Calibri" w:hAnsi="Calibri" w:cs="Calibri"/>
          <w:sz w:val="24"/>
          <w:szCs w:val="24"/>
        </w:rPr>
        <w:t>permis de capitaliser un gain de 25 293 tonnes de CO2</w:t>
      </w:r>
      <w:r w:rsidR="009626E0">
        <w:rPr>
          <w:rFonts w:ascii="Calibri" w:eastAsia="Calibri" w:hAnsi="Calibri" w:cs="Calibri"/>
          <w:sz w:val="24"/>
          <w:szCs w:val="24"/>
        </w:rPr>
        <w:t xml:space="preserve">, ce qui correspond </w:t>
      </w:r>
      <w:r w:rsidR="00C80576">
        <w:rPr>
          <w:rFonts w:ascii="Calibri" w:eastAsia="Calibri" w:hAnsi="Calibri" w:cs="Calibri"/>
          <w:sz w:val="24"/>
          <w:szCs w:val="24"/>
        </w:rPr>
        <w:t xml:space="preserve">à </w:t>
      </w:r>
      <w:r w:rsidR="009626E0" w:rsidRPr="009626E0">
        <w:rPr>
          <w:rFonts w:ascii="Calibri" w:eastAsia="Calibri" w:hAnsi="Calibri" w:cs="Calibri"/>
          <w:sz w:val="24"/>
          <w:szCs w:val="24"/>
        </w:rPr>
        <w:t>un taux d’atteinte des résultats de 18,19%</w:t>
      </w:r>
      <w:r w:rsidR="00C80576">
        <w:rPr>
          <w:rFonts w:ascii="Calibri" w:eastAsia="Calibri" w:hAnsi="Calibri" w:cs="Calibri"/>
          <w:sz w:val="24"/>
          <w:szCs w:val="24"/>
        </w:rPr>
        <w:t xml:space="preserve"> du </w:t>
      </w:r>
      <w:r w:rsidR="00C80576" w:rsidRPr="009626E0">
        <w:rPr>
          <w:rFonts w:ascii="Calibri" w:eastAsia="Calibri" w:hAnsi="Calibri" w:cs="Calibri"/>
          <w:sz w:val="24"/>
          <w:szCs w:val="24"/>
        </w:rPr>
        <w:t>scenario inconditionnel</w:t>
      </w:r>
      <w:r w:rsidR="00E62180">
        <w:rPr>
          <w:rFonts w:ascii="Calibri" w:eastAsia="Calibri" w:hAnsi="Calibri" w:cs="Calibri"/>
          <w:sz w:val="24"/>
          <w:szCs w:val="24"/>
        </w:rPr>
        <w:t>.</w:t>
      </w:r>
      <w:r w:rsidR="002A1886">
        <w:rPr>
          <w:rFonts w:ascii="Calibri" w:eastAsia="Calibri" w:hAnsi="Calibri" w:cs="Calibri"/>
          <w:sz w:val="24"/>
          <w:szCs w:val="24"/>
        </w:rPr>
        <w:t xml:space="preserve"> Il n</w:t>
      </w:r>
      <w:r w:rsidR="00B248A2">
        <w:rPr>
          <w:rFonts w:ascii="Calibri" w:eastAsia="Calibri" w:hAnsi="Calibri" w:cs="Calibri"/>
          <w:sz w:val="24"/>
          <w:szCs w:val="24"/>
        </w:rPr>
        <w:t xml:space="preserve">’y a pas eu de réduction de GES selon le scénario conditionnel. </w:t>
      </w:r>
      <w:r w:rsidR="00E62180">
        <w:rPr>
          <w:rFonts w:ascii="Calibri" w:eastAsia="Calibri" w:hAnsi="Calibri" w:cs="Calibri"/>
          <w:sz w:val="24"/>
          <w:szCs w:val="24"/>
        </w:rPr>
        <w:t xml:space="preserve"> </w:t>
      </w:r>
    </w:p>
    <w:p w14:paraId="0DA92B02" w14:textId="5CCDD759" w:rsidR="00BF4FFB" w:rsidRPr="006F3B84" w:rsidRDefault="00BF4FFB" w:rsidP="001F0FF0">
      <w:pPr>
        <w:spacing w:after="0" w:line="240" w:lineRule="auto"/>
        <w:jc w:val="both"/>
        <w:rPr>
          <w:rFonts w:ascii="Calibri" w:eastAsia="Calibri" w:hAnsi="Calibri" w:cs="Calibri"/>
          <w:sz w:val="24"/>
          <w:szCs w:val="24"/>
        </w:rPr>
      </w:pPr>
      <w:r w:rsidRPr="006F3B84">
        <w:rPr>
          <w:rFonts w:ascii="Calibri" w:eastAsia="Calibri" w:hAnsi="Calibri" w:cs="Calibri"/>
          <w:sz w:val="24"/>
          <w:szCs w:val="24"/>
        </w:rPr>
        <w:t>En matière d’habitat, d’urbanisme, de santé et d’alerte précoces</w:t>
      </w:r>
      <w:r w:rsidR="00C14070">
        <w:rPr>
          <w:rFonts w:ascii="Calibri" w:eastAsia="Calibri" w:hAnsi="Calibri" w:cs="Calibri"/>
          <w:sz w:val="24"/>
          <w:szCs w:val="24"/>
        </w:rPr>
        <w:t>,</w:t>
      </w:r>
      <w:r w:rsidRPr="006F3B84">
        <w:rPr>
          <w:rFonts w:ascii="Calibri" w:eastAsia="Calibri" w:hAnsi="Calibri" w:cs="Calibri"/>
          <w:sz w:val="24"/>
          <w:szCs w:val="24"/>
        </w:rPr>
        <w:t xml:space="preserve"> treize (13) projets ont été retenus dans la CDN de base. Les échanges n’ont pas permis d’indexer le niveau d’exécution des projets tel qu’indiqué</w:t>
      </w:r>
      <w:r w:rsidR="004A6097">
        <w:rPr>
          <w:rFonts w:ascii="Calibri" w:eastAsia="Calibri" w:hAnsi="Calibri" w:cs="Calibri"/>
          <w:sz w:val="24"/>
          <w:szCs w:val="24"/>
        </w:rPr>
        <w:t xml:space="preserve">, ni de </w:t>
      </w:r>
      <w:r w:rsidR="00DD0C92">
        <w:rPr>
          <w:rFonts w:ascii="Calibri" w:eastAsia="Calibri" w:hAnsi="Calibri" w:cs="Calibri"/>
          <w:sz w:val="24"/>
          <w:szCs w:val="24"/>
        </w:rPr>
        <w:t xml:space="preserve">relever des </w:t>
      </w:r>
      <w:r w:rsidR="00A358E6" w:rsidRPr="00A358E6">
        <w:rPr>
          <w:rFonts w:ascii="Calibri" w:eastAsia="Calibri" w:hAnsi="Calibri" w:cs="Calibri"/>
          <w:sz w:val="24"/>
          <w:szCs w:val="24"/>
        </w:rPr>
        <w:t>réduction de GES</w:t>
      </w:r>
      <w:r w:rsidR="00DD0C92">
        <w:rPr>
          <w:rFonts w:ascii="Calibri" w:eastAsia="Calibri" w:hAnsi="Calibri" w:cs="Calibri"/>
          <w:sz w:val="24"/>
          <w:szCs w:val="24"/>
        </w:rPr>
        <w:t xml:space="preserve">. </w:t>
      </w:r>
    </w:p>
    <w:p w14:paraId="49486EC1" w14:textId="5BF92E14" w:rsidR="00BF4FFB" w:rsidRDefault="00BF4FFB" w:rsidP="001F0FF0">
      <w:pPr>
        <w:spacing w:after="0" w:line="240" w:lineRule="auto"/>
        <w:jc w:val="both"/>
        <w:rPr>
          <w:rFonts w:ascii="Calibri" w:eastAsia="Calibri" w:hAnsi="Calibri" w:cs="Calibri"/>
          <w:sz w:val="24"/>
          <w:szCs w:val="24"/>
        </w:rPr>
      </w:pPr>
      <w:r w:rsidRPr="006F3B84">
        <w:rPr>
          <w:rFonts w:ascii="Calibri" w:eastAsia="Calibri" w:hAnsi="Calibri" w:cs="Calibri"/>
          <w:sz w:val="24"/>
          <w:szCs w:val="24"/>
        </w:rPr>
        <w:t xml:space="preserve">Par ailleurs, des projets non-inscrits dans la CDN ont été répertoriés en raison de leur lien et impact sur les objectifs de la CDN. Ces projets cumulent des taux d’exécution moyen de </w:t>
      </w:r>
      <w:r w:rsidRPr="006F3B84">
        <w:rPr>
          <w:rFonts w:ascii="Calibri" w:eastAsia="Calibri" w:hAnsi="Calibri" w:cs="Calibri"/>
          <w:b/>
          <w:bCs/>
          <w:sz w:val="24"/>
          <w:szCs w:val="24"/>
        </w:rPr>
        <w:t>69%</w:t>
      </w:r>
      <w:r w:rsidRPr="006F3B84">
        <w:rPr>
          <w:rFonts w:ascii="Calibri" w:eastAsia="Calibri" w:hAnsi="Calibri" w:cs="Calibri"/>
          <w:sz w:val="24"/>
          <w:szCs w:val="24"/>
        </w:rPr>
        <w:t xml:space="preserve"> pour le secteur des transports, de </w:t>
      </w:r>
      <w:r w:rsidRPr="006F3B84">
        <w:rPr>
          <w:rFonts w:ascii="Calibri" w:eastAsia="Calibri" w:hAnsi="Calibri" w:cs="Calibri"/>
          <w:b/>
          <w:bCs/>
          <w:sz w:val="24"/>
          <w:szCs w:val="24"/>
        </w:rPr>
        <w:t>80%</w:t>
      </w:r>
      <w:r w:rsidRPr="006F3B84">
        <w:rPr>
          <w:rFonts w:ascii="Calibri" w:eastAsia="Calibri" w:hAnsi="Calibri" w:cs="Calibri"/>
          <w:sz w:val="24"/>
          <w:szCs w:val="24"/>
        </w:rPr>
        <w:t xml:space="preserve"> pour la réalisation d’ouvrages et de </w:t>
      </w:r>
      <w:r w:rsidRPr="006F3B84">
        <w:rPr>
          <w:rFonts w:ascii="Calibri" w:eastAsia="Calibri" w:hAnsi="Calibri" w:cs="Calibri"/>
          <w:b/>
          <w:bCs/>
          <w:sz w:val="24"/>
          <w:szCs w:val="24"/>
        </w:rPr>
        <w:t>50,71%</w:t>
      </w:r>
      <w:r w:rsidRPr="006F3B84">
        <w:rPr>
          <w:rFonts w:ascii="Calibri" w:eastAsia="Calibri" w:hAnsi="Calibri" w:cs="Calibri"/>
          <w:sz w:val="24"/>
          <w:szCs w:val="24"/>
        </w:rPr>
        <w:t xml:space="preserve"> pour les projets d’alertes précoces</w:t>
      </w:r>
      <w:r w:rsidR="00AA6FF9" w:rsidRPr="006F3B84">
        <w:rPr>
          <w:rFonts w:ascii="Calibri" w:eastAsia="Calibri" w:hAnsi="Calibri" w:cs="Calibri"/>
          <w:sz w:val="24"/>
          <w:szCs w:val="24"/>
        </w:rPr>
        <w:t>.</w:t>
      </w:r>
    </w:p>
    <w:p w14:paraId="4E5DFA09" w14:textId="77777777" w:rsidR="00AA6FF9" w:rsidRPr="000B0AC8" w:rsidRDefault="00AA6FF9" w:rsidP="00AA6FF9">
      <w:pPr>
        <w:spacing w:after="0" w:line="240" w:lineRule="auto"/>
        <w:jc w:val="both"/>
        <w:rPr>
          <w:rFonts w:ascii="Calibri" w:eastAsia="Calibri" w:hAnsi="Calibri" w:cs="Calibri"/>
          <w:sz w:val="24"/>
          <w:szCs w:val="24"/>
        </w:rPr>
      </w:pPr>
    </w:p>
    <w:p w14:paraId="51491333" w14:textId="457F2F25" w:rsidR="00A03F14" w:rsidRPr="000B0AC8" w:rsidRDefault="00A03F14" w:rsidP="000B0AC8">
      <w:pPr>
        <w:pStyle w:val="ListParagraph"/>
        <w:numPr>
          <w:ilvl w:val="0"/>
          <w:numId w:val="46"/>
        </w:numPr>
        <w:spacing w:after="0" w:line="240" w:lineRule="auto"/>
        <w:ind w:left="426" w:hanging="426"/>
        <w:jc w:val="both"/>
        <w:rPr>
          <w:rFonts w:ascii="Calibri" w:eastAsia="Calibri" w:hAnsi="Calibri" w:cs="Calibri"/>
          <w:color w:val="000000"/>
          <w:sz w:val="24"/>
          <w:szCs w:val="24"/>
        </w:rPr>
      </w:pPr>
      <w:r w:rsidRPr="000B0AC8">
        <w:rPr>
          <w:rFonts w:ascii="Calibri" w:eastAsia="Calibri" w:hAnsi="Calibri" w:cs="Calibri"/>
          <w:b/>
          <w:bCs/>
          <w:color w:val="54A021" w:themeColor="accent2"/>
          <w:sz w:val="36"/>
          <w:szCs w:val="36"/>
          <w:u w:val="single"/>
        </w:rPr>
        <w:t>Acquis, contraintes</w:t>
      </w:r>
      <w:r w:rsidR="008B519B" w:rsidRPr="000B0AC8">
        <w:rPr>
          <w:rFonts w:ascii="Calibri" w:eastAsia="Calibri" w:hAnsi="Calibri" w:cs="Calibri"/>
          <w:b/>
          <w:bCs/>
          <w:color w:val="54A021" w:themeColor="accent2"/>
          <w:sz w:val="36"/>
          <w:szCs w:val="36"/>
          <w:u w:val="single"/>
        </w:rPr>
        <w:t xml:space="preserve">, </w:t>
      </w:r>
      <w:r w:rsidRPr="000B0AC8">
        <w:rPr>
          <w:rFonts w:ascii="Calibri" w:eastAsia="Calibri" w:hAnsi="Calibri" w:cs="Calibri"/>
          <w:b/>
          <w:bCs/>
          <w:color w:val="54A021" w:themeColor="accent2"/>
          <w:sz w:val="36"/>
          <w:szCs w:val="36"/>
          <w:u w:val="single"/>
        </w:rPr>
        <w:t>leçons apprises</w:t>
      </w:r>
      <w:r w:rsidR="008B519B" w:rsidRPr="000B0AC8">
        <w:rPr>
          <w:rFonts w:ascii="Calibri" w:eastAsia="Calibri" w:hAnsi="Calibri" w:cs="Calibri"/>
          <w:b/>
          <w:bCs/>
          <w:color w:val="54A021" w:themeColor="accent2"/>
          <w:sz w:val="36"/>
          <w:szCs w:val="36"/>
          <w:u w:val="single"/>
        </w:rPr>
        <w:t xml:space="preserve"> et recommandations</w:t>
      </w:r>
      <w:r w:rsidRPr="000B0AC8">
        <w:rPr>
          <w:rFonts w:ascii="Calibri" w:eastAsia="Calibri" w:hAnsi="Calibri" w:cs="Calibri"/>
          <w:b/>
          <w:bCs/>
          <w:color w:val="54A021" w:themeColor="accent2"/>
          <w:sz w:val="36"/>
          <w:szCs w:val="36"/>
          <w:u w:val="single"/>
        </w:rPr>
        <w:t> :</w:t>
      </w:r>
    </w:p>
    <w:p w14:paraId="72096BAB" w14:textId="2B13F2CC" w:rsidR="00BC0ACA" w:rsidRPr="000B0AC8" w:rsidRDefault="00BC0ACA" w:rsidP="00BC0ACA">
      <w:pPr>
        <w:spacing w:after="0" w:line="240" w:lineRule="auto"/>
        <w:jc w:val="both"/>
        <w:rPr>
          <w:rFonts w:ascii="Calibri" w:eastAsia="Calibri" w:hAnsi="Calibri" w:cs="Calibri"/>
          <w:sz w:val="24"/>
          <w:szCs w:val="24"/>
        </w:rPr>
      </w:pPr>
      <w:r w:rsidRPr="000B0AC8">
        <w:rPr>
          <w:rFonts w:ascii="Calibri" w:eastAsia="Calibri" w:hAnsi="Calibri" w:cs="Calibri"/>
          <w:sz w:val="24"/>
          <w:szCs w:val="24"/>
        </w:rPr>
        <w:t>Les réalisations de la CDN ont capitalisé sur des acquis stratégiques et sectoriels importants. Par ailleurs, le non-fonctionnement du dispositif de suivi de la CDN, la non-systématisation de la détermination des quantités de carbone séquestrée</w:t>
      </w:r>
      <w:r w:rsidR="007F1368">
        <w:rPr>
          <w:rFonts w:ascii="Calibri" w:eastAsia="Calibri" w:hAnsi="Calibri" w:cs="Calibri"/>
          <w:sz w:val="24"/>
          <w:szCs w:val="24"/>
        </w:rPr>
        <w:t>s</w:t>
      </w:r>
      <w:r w:rsidRPr="000B0AC8">
        <w:rPr>
          <w:rFonts w:ascii="Calibri" w:eastAsia="Calibri" w:hAnsi="Calibri" w:cs="Calibri"/>
          <w:sz w:val="24"/>
          <w:szCs w:val="24"/>
        </w:rPr>
        <w:t xml:space="preserve"> dans les projets, la méconnaissance de la CDN même par le personnel des </w:t>
      </w:r>
      <w:r w:rsidRPr="000612E6">
        <w:rPr>
          <w:rFonts w:ascii="Calibri" w:eastAsia="Calibri" w:hAnsi="Calibri" w:cs="Calibri"/>
          <w:sz w:val="24"/>
          <w:szCs w:val="24"/>
        </w:rPr>
        <w:t>projets… constituent</w:t>
      </w:r>
      <w:r w:rsidRPr="000B0AC8">
        <w:rPr>
          <w:rFonts w:ascii="Calibri" w:eastAsia="Calibri" w:hAnsi="Calibri" w:cs="Calibri"/>
          <w:sz w:val="24"/>
          <w:szCs w:val="24"/>
        </w:rPr>
        <w:t xml:space="preserve"> des limites à lever pour optimiser les contributions des projets à la CDN.</w:t>
      </w:r>
    </w:p>
    <w:p w14:paraId="0D5CFF9E" w14:textId="77777777" w:rsidR="00BC0ACA" w:rsidRPr="000B0AC8" w:rsidRDefault="00BC0ACA" w:rsidP="00DD013D">
      <w:pPr>
        <w:spacing w:after="0" w:line="240" w:lineRule="auto"/>
        <w:jc w:val="both"/>
        <w:rPr>
          <w:rFonts w:ascii="Calibri" w:eastAsia="Calibri" w:hAnsi="Calibri" w:cs="Calibri"/>
          <w:sz w:val="24"/>
          <w:szCs w:val="24"/>
        </w:rPr>
      </w:pPr>
    </w:p>
    <w:p w14:paraId="2610E6C3" w14:textId="15BCF704" w:rsidR="00DD013D" w:rsidRPr="000B0AC8" w:rsidRDefault="00A03F14" w:rsidP="00DD013D">
      <w:pPr>
        <w:spacing w:after="0" w:line="240" w:lineRule="auto"/>
        <w:jc w:val="both"/>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 xml:space="preserve">Les différents secteurs ont bénéficié d’acquis communs relatifs à l’organisation et aux cadres de référence </w:t>
      </w:r>
    </w:p>
    <w:p w14:paraId="71718A93" w14:textId="38AFB1BC" w:rsidR="00DD013D" w:rsidRPr="000B0AC8" w:rsidRDefault="00DD013D" w:rsidP="00DD01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lastRenderedPageBreak/>
        <w:t>Existence d’un Plan national d’adaptation (PNA) au changement climatique et d’un PNA pour les associations féminines,</w:t>
      </w:r>
    </w:p>
    <w:p w14:paraId="2BDE0B09" w14:textId="65DC2D69" w:rsidR="00DD013D" w:rsidRPr="000B0AC8" w:rsidRDefault="00DD013D" w:rsidP="00DD01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Existence de catalogues de bonnes pratiques d’adaptation au changement climatique,</w:t>
      </w:r>
    </w:p>
    <w:p w14:paraId="005A25D3" w14:textId="25140618" w:rsidR="00DD013D" w:rsidRPr="000B0AC8" w:rsidRDefault="00DD013D" w:rsidP="00DD01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Intégration de l’adaptation au</w:t>
      </w:r>
      <w:r w:rsidR="001F0FF0" w:rsidRPr="000B0AC8">
        <w:rPr>
          <w:rFonts w:ascii="Calibri" w:eastAsia="Calibri" w:hAnsi="Calibri" w:cs="Calibri"/>
          <w:color w:val="000000"/>
          <w:sz w:val="24"/>
          <w:szCs w:val="24"/>
        </w:rPr>
        <w:t xml:space="preserve"> </w:t>
      </w:r>
      <w:r w:rsidRPr="000B0AC8">
        <w:rPr>
          <w:rFonts w:ascii="Calibri" w:eastAsia="Calibri" w:hAnsi="Calibri" w:cs="Calibri"/>
          <w:color w:val="000000"/>
          <w:sz w:val="24"/>
          <w:szCs w:val="24"/>
        </w:rPr>
        <w:t>changement climatique dans les politiques et stratégies et autres référentiels spécifiques,</w:t>
      </w:r>
    </w:p>
    <w:p w14:paraId="1D69C30E" w14:textId="77777777" w:rsidR="00DD013D" w:rsidRPr="000B0AC8" w:rsidRDefault="00DD013D" w:rsidP="00DD01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Existence ou disponibilité de compétences diverses (par exemple, pour l’évaluation de la contribution de l’environnement à la réduction des GES),</w:t>
      </w:r>
    </w:p>
    <w:p w14:paraId="7D6CBACA" w14:textId="77777777" w:rsidR="00DD013D" w:rsidRPr="000B0AC8" w:rsidRDefault="00DD013D" w:rsidP="00DD013D">
      <w:pPr>
        <w:numPr>
          <w:ilvl w:val="0"/>
          <w:numId w:val="39"/>
        </w:numPr>
        <w:pBdr>
          <w:top w:val="nil"/>
          <w:left w:val="nil"/>
          <w:bottom w:val="nil"/>
          <w:right w:val="nil"/>
          <w:between w:val="nil"/>
        </w:pBdr>
        <w:spacing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Existence d’une Direction générale en charge du suivi-évaluation des projets et programmes (DGESS).</w:t>
      </w:r>
    </w:p>
    <w:p w14:paraId="4F46C347" w14:textId="5F5FA3F4" w:rsidR="00DD013D" w:rsidRPr="000B0AC8" w:rsidRDefault="00A03F14" w:rsidP="00DD013D">
      <w:pPr>
        <w:spacing w:after="0" w:line="240" w:lineRule="auto"/>
        <w:jc w:val="both"/>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Les secteurs ont également relevé des contraintes communes, relatives au pilotage, suivi et financement</w:t>
      </w:r>
      <w:r w:rsidR="00BC0ACA" w:rsidRPr="000B0AC8">
        <w:rPr>
          <w:rFonts w:ascii="Calibri" w:eastAsia="Calibri" w:hAnsi="Calibri" w:cs="Calibri"/>
          <w:color w:val="93DE61" w:themeColor="accent2" w:themeTint="99"/>
          <w:sz w:val="28"/>
          <w:szCs w:val="28"/>
        </w:rPr>
        <w:t xml:space="preserve"> des projets</w:t>
      </w:r>
    </w:p>
    <w:p w14:paraId="2B8BEF48" w14:textId="786B6E51" w:rsidR="0028763D" w:rsidRPr="006F3B84" w:rsidRDefault="00DD013D" w:rsidP="002876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 xml:space="preserve">Manque ou absence de suivi des progrès en matière de réduction des GES </w:t>
      </w:r>
      <w:r w:rsidR="00681677" w:rsidRPr="006F3B84">
        <w:rPr>
          <w:rFonts w:ascii="Calibri" w:eastAsia="Calibri" w:hAnsi="Calibri" w:cs="Calibri"/>
          <w:color w:val="000000"/>
          <w:sz w:val="24"/>
          <w:szCs w:val="24"/>
        </w:rPr>
        <w:t>au sein de la structure en charge du suivi</w:t>
      </w:r>
      <w:r w:rsidR="001C5FD0" w:rsidRPr="006F3B84">
        <w:rPr>
          <w:rFonts w:ascii="Calibri" w:eastAsia="Calibri" w:hAnsi="Calibri" w:cs="Calibri"/>
          <w:color w:val="000000"/>
          <w:sz w:val="24"/>
          <w:szCs w:val="24"/>
        </w:rPr>
        <w:t>,</w:t>
      </w:r>
    </w:p>
    <w:p w14:paraId="6BFD7746" w14:textId="5B717B16" w:rsidR="00DD013D" w:rsidRPr="006F3B84" w:rsidRDefault="00DD013D" w:rsidP="002876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6F3B84">
        <w:rPr>
          <w:rFonts w:ascii="Calibri" w:eastAsia="Calibri" w:hAnsi="Calibri" w:cs="Calibri"/>
          <w:color w:val="000000"/>
          <w:sz w:val="24"/>
          <w:szCs w:val="24"/>
        </w:rPr>
        <w:t>Insuffisance de ressources financières pour la mise en œuvre des actions d’adaptation et d’atténuation,</w:t>
      </w:r>
    </w:p>
    <w:p w14:paraId="75D5BA94" w14:textId="77777777" w:rsidR="00DD013D" w:rsidRPr="000B0AC8" w:rsidRDefault="00DD013D" w:rsidP="002876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Absence d’affectation explicite de lignes budgétaires spécifiques pour la réalisation des actions d’adaptation et d’atténuation,</w:t>
      </w:r>
    </w:p>
    <w:p w14:paraId="2363AD3D" w14:textId="77777777" w:rsidR="00DD013D" w:rsidRPr="000B0AC8" w:rsidRDefault="00DD013D" w:rsidP="002876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Difficultés d’accès au financement climat à l’échelle internationale,</w:t>
      </w:r>
    </w:p>
    <w:p w14:paraId="41F9BF2C" w14:textId="77777777" w:rsidR="00DD013D" w:rsidRPr="000B0AC8" w:rsidRDefault="00DD013D" w:rsidP="00DD01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Absence d’une planification sectorielle d’exécution de la CDN,</w:t>
      </w:r>
    </w:p>
    <w:p w14:paraId="2527D5CD" w14:textId="12EE3FB8" w:rsidR="00DD013D" w:rsidRPr="000B0AC8" w:rsidRDefault="00DD013D" w:rsidP="00DD013D">
      <w:pPr>
        <w:numPr>
          <w:ilvl w:val="0"/>
          <w:numId w:val="39"/>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color w:val="000000"/>
          <w:sz w:val="24"/>
          <w:szCs w:val="24"/>
        </w:rPr>
        <w:t>Insuffisance de l’expertise pour l’élaboration de projets spécifiques d’atténuation</w:t>
      </w:r>
      <w:r w:rsidR="00763D3C">
        <w:rPr>
          <w:rFonts w:ascii="Calibri" w:eastAsia="Calibri" w:hAnsi="Calibri" w:cs="Calibri"/>
          <w:color w:val="000000"/>
          <w:sz w:val="24"/>
          <w:szCs w:val="24"/>
        </w:rPr>
        <w:t>.</w:t>
      </w:r>
    </w:p>
    <w:p w14:paraId="0441D2A6" w14:textId="77777777" w:rsidR="00DD013D" w:rsidRPr="000B0AC8" w:rsidRDefault="00DD013D" w:rsidP="00DD013D">
      <w:pPr>
        <w:pBdr>
          <w:top w:val="nil"/>
          <w:left w:val="nil"/>
          <w:bottom w:val="nil"/>
          <w:right w:val="nil"/>
          <w:between w:val="nil"/>
        </w:pBdr>
        <w:spacing w:after="0" w:line="240" w:lineRule="auto"/>
        <w:jc w:val="both"/>
        <w:rPr>
          <w:rFonts w:ascii="Calibri" w:eastAsia="Calibri" w:hAnsi="Calibri" w:cs="Calibri"/>
          <w:color w:val="000000"/>
          <w:sz w:val="24"/>
          <w:szCs w:val="24"/>
        </w:rPr>
      </w:pPr>
    </w:p>
    <w:p w14:paraId="27024E5C" w14:textId="5B398EAE" w:rsidR="00DD013D" w:rsidRPr="000B0AC8" w:rsidRDefault="00A03F14" w:rsidP="00DD013D">
      <w:pPr>
        <w:spacing w:after="0" w:line="240" w:lineRule="auto"/>
        <w:jc w:val="both"/>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Des mécanismes sectoriels constituent des acquis spécifiques</w:t>
      </w:r>
    </w:p>
    <w:p w14:paraId="1E84E3D5" w14:textId="6380E9C4" w:rsidR="00DD013D" w:rsidRPr="000B0AC8" w:rsidRDefault="00DD013D" w:rsidP="00DD013D">
      <w:pPr>
        <w:numPr>
          <w:ilvl w:val="0"/>
          <w:numId w:val="40"/>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bCs/>
          <w:i/>
          <w:iCs/>
          <w:color w:val="000000"/>
          <w:sz w:val="24"/>
          <w:szCs w:val="24"/>
        </w:rPr>
        <w:t>Pour l’agriculture :</w:t>
      </w:r>
      <w:r w:rsidRPr="000B0AC8">
        <w:rPr>
          <w:rFonts w:ascii="Calibri" w:eastAsia="Calibri" w:hAnsi="Calibri" w:cs="Calibri"/>
          <w:color w:val="000000"/>
          <w:sz w:val="24"/>
          <w:szCs w:val="24"/>
        </w:rPr>
        <w:t xml:space="preserve"> existence d’un </w:t>
      </w:r>
      <w:r w:rsidR="00BC0ACA" w:rsidRPr="000B0AC8">
        <w:rPr>
          <w:rFonts w:ascii="Calibri" w:eastAsia="Calibri" w:hAnsi="Calibri" w:cs="Calibri"/>
          <w:color w:val="000000"/>
          <w:sz w:val="24"/>
          <w:szCs w:val="24"/>
        </w:rPr>
        <w:t>c</w:t>
      </w:r>
      <w:r w:rsidRPr="000B0AC8">
        <w:rPr>
          <w:rFonts w:ascii="Calibri" w:eastAsia="Calibri" w:hAnsi="Calibri" w:cs="Calibri"/>
          <w:color w:val="000000"/>
          <w:sz w:val="24"/>
          <w:szCs w:val="24"/>
        </w:rPr>
        <w:t xml:space="preserve">adre de mesures d’atténuation appropriées au niveau national, </w:t>
      </w:r>
    </w:p>
    <w:p w14:paraId="6B2535FF" w14:textId="77777777" w:rsidR="00DD013D" w:rsidRPr="000B0AC8" w:rsidRDefault="00DD013D" w:rsidP="00DD013D">
      <w:pPr>
        <w:numPr>
          <w:ilvl w:val="0"/>
          <w:numId w:val="40"/>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bCs/>
          <w:i/>
          <w:iCs/>
          <w:color w:val="000000"/>
          <w:sz w:val="24"/>
          <w:szCs w:val="24"/>
        </w:rPr>
        <w:t>Pour les productions animales :</w:t>
      </w:r>
      <w:r w:rsidRPr="000B0AC8">
        <w:rPr>
          <w:rFonts w:ascii="Calibri" w:eastAsia="Calibri" w:hAnsi="Calibri" w:cs="Calibri"/>
          <w:color w:val="000000"/>
          <w:sz w:val="24"/>
          <w:szCs w:val="24"/>
        </w:rPr>
        <w:t xml:space="preserve"> existence d’un secrétariat permanent chargé de répondre à la vulnérabilité du secteur face aux aléas climatiques (SPCVEL),</w:t>
      </w:r>
    </w:p>
    <w:p w14:paraId="0D956CC1" w14:textId="77777777" w:rsidR="00DD013D" w:rsidRPr="000B0AC8" w:rsidRDefault="00DD013D" w:rsidP="00DD013D">
      <w:pPr>
        <w:numPr>
          <w:ilvl w:val="0"/>
          <w:numId w:val="40"/>
        </w:numPr>
        <w:pBdr>
          <w:top w:val="nil"/>
          <w:left w:val="nil"/>
          <w:bottom w:val="nil"/>
          <w:right w:val="nil"/>
          <w:between w:val="nil"/>
        </w:pBdr>
        <w:spacing w:after="0" w:line="240" w:lineRule="auto"/>
        <w:ind w:left="284" w:hanging="284"/>
        <w:jc w:val="both"/>
        <w:rPr>
          <w:rFonts w:ascii="Calibri" w:eastAsia="Calibri" w:hAnsi="Calibri" w:cs="Calibri"/>
          <w:color w:val="000000"/>
          <w:sz w:val="24"/>
          <w:szCs w:val="24"/>
        </w:rPr>
      </w:pPr>
      <w:r w:rsidRPr="000B0AC8">
        <w:rPr>
          <w:rFonts w:ascii="Calibri" w:eastAsia="Calibri" w:hAnsi="Calibri" w:cs="Calibri"/>
          <w:bCs/>
          <w:i/>
          <w:iCs/>
          <w:color w:val="000000"/>
          <w:sz w:val="24"/>
          <w:szCs w:val="24"/>
        </w:rPr>
        <w:t>Pour l’énergie :</w:t>
      </w:r>
      <w:r w:rsidRPr="000B0AC8">
        <w:rPr>
          <w:rFonts w:ascii="Calibri" w:eastAsia="Calibri" w:hAnsi="Calibri" w:cs="Calibri"/>
          <w:color w:val="000000"/>
          <w:sz w:val="24"/>
          <w:szCs w:val="24"/>
        </w:rPr>
        <w:t xml:space="preserve"> existence de structures spécifiques en charge des énergies renouvelables (ANEREE, DGER) et orientation de la formulation du 2</w:t>
      </w:r>
      <w:r w:rsidRPr="000B0AC8">
        <w:rPr>
          <w:rFonts w:ascii="Calibri" w:eastAsia="Calibri" w:hAnsi="Calibri" w:cs="Calibri"/>
          <w:color w:val="000000"/>
          <w:sz w:val="24"/>
          <w:szCs w:val="24"/>
          <w:vertAlign w:val="superscript"/>
        </w:rPr>
        <w:t>e</w:t>
      </w:r>
      <w:r w:rsidRPr="000B0AC8">
        <w:rPr>
          <w:rFonts w:ascii="Calibri" w:eastAsia="Calibri" w:hAnsi="Calibri" w:cs="Calibri"/>
          <w:color w:val="000000"/>
          <w:sz w:val="24"/>
          <w:szCs w:val="24"/>
        </w:rPr>
        <w:t xml:space="preserve"> compact du Millenium Challenge Account sur le secteur de l’énergie avec un accent sur les énergies renouvelables,</w:t>
      </w:r>
    </w:p>
    <w:p w14:paraId="3879D7FE" w14:textId="77777777" w:rsidR="00DD013D" w:rsidRPr="000B0AC8" w:rsidRDefault="00DD013D" w:rsidP="00DD013D">
      <w:pPr>
        <w:numPr>
          <w:ilvl w:val="0"/>
          <w:numId w:val="40"/>
        </w:numPr>
        <w:pBdr>
          <w:top w:val="nil"/>
          <w:left w:val="nil"/>
          <w:bottom w:val="nil"/>
          <w:right w:val="nil"/>
          <w:between w:val="nil"/>
        </w:pBdr>
        <w:spacing w:line="240" w:lineRule="auto"/>
        <w:ind w:left="284" w:hanging="284"/>
        <w:jc w:val="both"/>
        <w:rPr>
          <w:rFonts w:ascii="Calibri" w:eastAsia="Calibri" w:hAnsi="Calibri" w:cs="Calibri"/>
          <w:color w:val="000000"/>
          <w:sz w:val="24"/>
          <w:szCs w:val="24"/>
        </w:rPr>
      </w:pPr>
      <w:r w:rsidRPr="000B0AC8">
        <w:rPr>
          <w:rFonts w:ascii="Calibri" w:eastAsia="Calibri" w:hAnsi="Calibri" w:cs="Calibri"/>
          <w:bCs/>
          <w:i/>
          <w:iCs/>
          <w:color w:val="000000"/>
          <w:sz w:val="24"/>
          <w:szCs w:val="24"/>
        </w:rPr>
        <w:t>Pour les transports :</w:t>
      </w:r>
      <w:r w:rsidRPr="000B0AC8">
        <w:rPr>
          <w:rFonts w:ascii="Calibri" w:eastAsia="Calibri" w:hAnsi="Calibri" w:cs="Calibri"/>
          <w:color w:val="000000"/>
          <w:sz w:val="24"/>
          <w:szCs w:val="24"/>
        </w:rPr>
        <w:t xml:space="preserve"> Existence d’un secrétariat permanent pour répondre à la vulnérabilité du secteur aux aléas climatiques (SPCVEL).</w:t>
      </w:r>
    </w:p>
    <w:p w14:paraId="356007BC" w14:textId="41ACE8B4" w:rsidR="00DD013D" w:rsidRPr="000B0AC8" w:rsidRDefault="00A03F14" w:rsidP="00DD013D">
      <w:pPr>
        <w:spacing w:after="0" w:line="240" w:lineRule="auto"/>
        <w:jc w:val="both"/>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Certains secteurs ont relevé des contraintes spécifiques</w:t>
      </w:r>
    </w:p>
    <w:p w14:paraId="401596AE" w14:textId="77777777" w:rsidR="00DD013D" w:rsidRPr="000B0AC8" w:rsidRDefault="00DD013D" w:rsidP="00DD013D">
      <w:pPr>
        <w:numPr>
          <w:ilvl w:val="0"/>
          <w:numId w:val="41"/>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bCs/>
          <w:i/>
          <w:iCs/>
          <w:color w:val="000000"/>
          <w:sz w:val="24"/>
          <w:szCs w:val="24"/>
        </w:rPr>
        <w:t>Pour l’agriculture</w:t>
      </w:r>
      <w:r w:rsidRPr="000B0AC8">
        <w:rPr>
          <w:rFonts w:ascii="Calibri" w:eastAsia="Calibri" w:hAnsi="Calibri" w:cs="Calibri"/>
          <w:b/>
          <w:color w:val="000000"/>
          <w:sz w:val="24"/>
          <w:szCs w:val="24"/>
        </w:rPr>
        <w:t> </w:t>
      </w:r>
      <w:r w:rsidRPr="000B0AC8">
        <w:rPr>
          <w:rFonts w:ascii="Calibri" w:eastAsia="Calibri" w:hAnsi="Calibri" w:cs="Calibri"/>
          <w:color w:val="000000"/>
          <w:sz w:val="24"/>
          <w:szCs w:val="24"/>
        </w:rPr>
        <w:t>: absence de synergie avec les autres départements ministériels pour le suivi et la capitalisation des actions et méconnaissance de la CDN et du PNA au sein du département,</w:t>
      </w:r>
    </w:p>
    <w:p w14:paraId="174273D2" w14:textId="77777777" w:rsidR="00DD013D" w:rsidRPr="000B0AC8" w:rsidRDefault="00DD013D" w:rsidP="00DD013D">
      <w:pPr>
        <w:numPr>
          <w:ilvl w:val="0"/>
          <w:numId w:val="41"/>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bCs/>
          <w:i/>
          <w:iCs/>
          <w:color w:val="000000"/>
          <w:sz w:val="24"/>
          <w:szCs w:val="24"/>
        </w:rPr>
        <w:t>Pour l’assainissement</w:t>
      </w:r>
      <w:r w:rsidRPr="000B0AC8">
        <w:rPr>
          <w:rFonts w:ascii="Calibri" w:eastAsia="Calibri" w:hAnsi="Calibri" w:cs="Calibri"/>
          <w:b/>
          <w:color w:val="000000"/>
          <w:sz w:val="24"/>
          <w:szCs w:val="24"/>
        </w:rPr>
        <w:t> </w:t>
      </w:r>
      <w:r w:rsidRPr="000B0AC8">
        <w:rPr>
          <w:rFonts w:ascii="Calibri" w:eastAsia="Calibri" w:hAnsi="Calibri" w:cs="Calibri"/>
          <w:color w:val="000000"/>
          <w:sz w:val="24"/>
          <w:szCs w:val="24"/>
        </w:rPr>
        <w:t>: absence de synergie avec les autres départements ministériels pour le suivi des progrès réalisés et la capitalisation des actions en matière d’adaptation,</w:t>
      </w:r>
    </w:p>
    <w:p w14:paraId="6B61F443" w14:textId="77777777" w:rsidR="00DD013D" w:rsidRPr="000B0AC8" w:rsidRDefault="00DD013D" w:rsidP="00DD013D">
      <w:pPr>
        <w:pStyle w:val="ListParagraph"/>
        <w:numPr>
          <w:ilvl w:val="0"/>
          <w:numId w:val="41"/>
        </w:numPr>
        <w:spacing w:after="0" w:line="240" w:lineRule="auto"/>
        <w:ind w:left="142" w:hanging="142"/>
        <w:jc w:val="both"/>
        <w:rPr>
          <w:rFonts w:ascii="Calibri" w:eastAsia="Calibri" w:hAnsi="Calibri" w:cs="Calibri"/>
          <w:color w:val="00B050"/>
          <w:sz w:val="24"/>
          <w:szCs w:val="24"/>
        </w:rPr>
      </w:pPr>
      <w:r w:rsidRPr="000B0AC8">
        <w:rPr>
          <w:rFonts w:ascii="Calibri" w:eastAsia="Calibri" w:hAnsi="Calibri" w:cs="Calibri"/>
          <w:bCs/>
          <w:i/>
          <w:iCs/>
          <w:sz w:val="24"/>
          <w:szCs w:val="24"/>
        </w:rPr>
        <w:t>Pour l’énergie</w:t>
      </w:r>
      <w:r w:rsidRPr="000B0AC8">
        <w:rPr>
          <w:rFonts w:ascii="Calibri" w:eastAsia="Calibri" w:hAnsi="Calibri" w:cs="Calibri"/>
          <w:sz w:val="24"/>
          <w:szCs w:val="24"/>
        </w:rPr>
        <w:t> : absence d’élaboration de facteurs d’émissions spécifiques adaptés au contexte du Burkina Faso, manque de visibilité sur les installations solaires de moins de 500kWc dont le facteur d’échelle pourrait avoir un impact sur les efforts d’atténuation du Burkina Faso et la non prise en compte des impacts sur la CDN2015 des efforts institutionnels et organisationnels dans la promotion des énergies renouvelables et l’économie d’énergie sur les scenarii réduction de GES.</w:t>
      </w:r>
    </w:p>
    <w:p w14:paraId="3A873598" w14:textId="77777777" w:rsidR="00416BCA" w:rsidRDefault="00416BCA" w:rsidP="00DD013D">
      <w:pPr>
        <w:spacing w:after="0" w:line="240" w:lineRule="auto"/>
        <w:jc w:val="both"/>
        <w:rPr>
          <w:rFonts w:ascii="Calibri" w:eastAsia="Calibri" w:hAnsi="Calibri" w:cs="Calibri"/>
          <w:color w:val="93DE61" w:themeColor="accent2" w:themeTint="99"/>
          <w:sz w:val="28"/>
          <w:szCs w:val="28"/>
        </w:rPr>
      </w:pPr>
    </w:p>
    <w:p w14:paraId="07B322BB" w14:textId="433DF25A" w:rsidR="00DD013D" w:rsidRPr="000B0AC8" w:rsidRDefault="008B519B" w:rsidP="00DD013D">
      <w:pPr>
        <w:spacing w:after="0" w:line="240" w:lineRule="auto"/>
        <w:jc w:val="both"/>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L’évaluation des projets permet d’identifier des l</w:t>
      </w:r>
      <w:r w:rsidR="00DD013D" w:rsidRPr="000B0AC8">
        <w:rPr>
          <w:rFonts w:ascii="Calibri" w:eastAsia="Calibri" w:hAnsi="Calibri" w:cs="Calibri"/>
          <w:color w:val="93DE61" w:themeColor="accent2" w:themeTint="99"/>
          <w:sz w:val="28"/>
          <w:szCs w:val="28"/>
        </w:rPr>
        <w:t xml:space="preserve">eçons et points d’attention </w:t>
      </w:r>
      <w:r w:rsidRPr="000B0AC8">
        <w:rPr>
          <w:rFonts w:ascii="Calibri" w:eastAsia="Calibri" w:hAnsi="Calibri" w:cs="Calibri"/>
          <w:color w:val="93DE61" w:themeColor="accent2" w:themeTint="99"/>
          <w:sz w:val="28"/>
          <w:szCs w:val="28"/>
        </w:rPr>
        <w:t xml:space="preserve">à retenir pour </w:t>
      </w:r>
      <w:r w:rsidR="00DD013D" w:rsidRPr="000B0AC8">
        <w:rPr>
          <w:rFonts w:ascii="Calibri" w:eastAsia="Calibri" w:hAnsi="Calibri" w:cs="Calibri"/>
          <w:color w:val="93DE61" w:themeColor="accent2" w:themeTint="99"/>
          <w:sz w:val="28"/>
          <w:szCs w:val="28"/>
        </w:rPr>
        <w:t>la révision des objectifs de la CDN</w:t>
      </w:r>
    </w:p>
    <w:p w14:paraId="291F7F12" w14:textId="77777777" w:rsidR="00DD013D" w:rsidRPr="000B0AC8" w:rsidRDefault="00DD013D" w:rsidP="00DD013D">
      <w:pPr>
        <w:numPr>
          <w:ilvl w:val="0"/>
          <w:numId w:val="43"/>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Le suivi-évaluation de la CDN n’a pas été effectif sinon les données sur les projets contribuant à la CDN auraient été centralisées au sein d’une cellule. Ce qui aurait facilité leur disponibilisation et permis une meilleure visibilité de la CDN,</w:t>
      </w:r>
    </w:p>
    <w:p w14:paraId="385A8F16" w14:textId="77777777" w:rsidR="00DD013D" w:rsidRPr="000B0AC8" w:rsidRDefault="00DD013D" w:rsidP="00DD013D">
      <w:pPr>
        <w:numPr>
          <w:ilvl w:val="0"/>
          <w:numId w:val="43"/>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lastRenderedPageBreak/>
        <w:t xml:space="preserve">Les données sur la prise en compte du genre sont très peu présentes dans la documentation relative aux projets et programmes contribuant à la CDN. Même si les données sur les bénéficiaires existent, elles ne sont pas désagrégées. Cela ne permet pas de juger de la prise en compte du genre dans l’exécution des projets et programmes, </w:t>
      </w:r>
    </w:p>
    <w:p w14:paraId="053005A7" w14:textId="77777777" w:rsidR="00DD013D" w:rsidRPr="000B0AC8" w:rsidRDefault="00DD013D" w:rsidP="00DD013D">
      <w:pPr>
        <w:numPr>
          <w:ilvl w:val="0"/>
          <w:numId w:val="43"/>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 xml:space="preserve">La faible diffusion ou communication sur la CDN auprès de certaines structures d’exécution des projets et programmes qui ignorent leur implication dans la réduction des GES, </w:t>
      </w:r>
    </w:p>
    <w:p w14:paraId="1E559629" w14:textId="36CBB4AD" w:rsidR="00DD013D" w:rsidRPr="000B0AC8" w:rsidRDefault="00BC0ACA" w:rsidP="00DD013D">
      <w:pPr>
        <w:numPr>
          <w:ilvl w:val="0"/>
          <w:numId w:val="43"/>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Intégration de</w:t>
      </w:r>
      <w:r w:rsidR="00DD013D" w:rsidRPr="000B0AC8">
        <w:rPr>
          <w:rFonts w:ascii="Calibri" w:eastAsia="Calibri" w:hAnsi="Calibri" w:cs="Calibri"/>
          <w:color w:val="000000"/>
          <w:sz w:val="24"/>
          <w:szCs w:val="24"/>
        </w:rPr>
        <w:t xml:space="preserve"> la contribution de leurs actions à la réduction des GES (PIF, projet Neer Tamba, etc.). Cette approche devrait être capitalisée comme bonne pratique et recommandée pour l’ensemble des projets et programmes de la CDN,</w:t>
      </w:r>
    </w:p>
    <w:p w14:paraId="546E691A" w14:textId="77777777" w:rsidR="00DD013D" w:rsidRPr="000B0AC8" w:rsidRDefault="00DD013D" w:rsidP="00DD013D">
      <w:pPr>
        <w:numPr>
          <w:ilvl w:val="0"/>
          <w:numId w:val="43"/>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Satisfaction de la majorité des bénéficiaires de l’exécution des projets notamment ceux d’adaptation qui ont contribué à améliorer la production agricole et le cadre de vie des ménages en milieu rural,</w:t>
      </w:r>
    </w:p>
    <w:p w14:paraId="2AC2EBDB" w14:textId="77777777" w:rsidR="00DD013D" w:rsidRPr="000B0AC8" w:rsidRDefault="00DD013D" w:rsidP="00DD013D">
      <w:pPr>
        <w:numPr>
          <w:ilvl w:val="0"/>
          <w:numId w:val="43"/>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Associer changement de comportement et modernisation du matériel et des équipements, le tout fondé sur un cadre juridique et institutionnel adapté pour permettre d’améliorer l’efficacité de l’infrastructure routière et du matérielle roulant, de favoriser la transition vers les modes de transport les moins polluants et d’assurer une meilleure inclusivité,</w:t>
      </w:r>
    </w:p>
    <w:p w14:paraId="12DEE922" w14:textId="19625EEA" w:rsidR="00DD013D" w:rsidRPr="000B0AC8" w:rsidRDefault="00BC0ACA" w:rsidP="00DD013D">
      <w:pPr>
        <w:numPr>
          <w:ilvl w:val="0"/>
          <w:numId w:val="43"/>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 xml:space="preserve">Non-respect de la plupart </w:t>
      </w:r>
      <w:r w:rsidR="00DD013D" w:rsidRPr="000B0AC8">
        <w:rPr>
          <w:rFonts w:ascii="Calibri" w:eastAsia="Calibri" w:hAnsi="Calibri" w:cs="Calibri"/>
          <w:color w:val="000000"/>
          <w:sz w:val="24"/>
          <w:szCs w:val="24"/>
        </w:rPr>
        <w:t xml:space="preserve">des promoteurs immobiliers </w:t>
      </w:r>
      <w:r w:rsidRPr="000B0AC8">
        <w:rPr>
          <w:rFonts w:ascii="Calibri" w:eastAsia="Calibri" w:hAnsi="Calibri" w:cs="Calibri"/>
          <w:color w:val="000000"/>
          <w:sz w:val="24"/>
          <w:szCs w:val="24"/>
        </w:rPr>
        <w:t>de</w:t>
      </w:r>
      <w:r w:rsidR="00DD013D" w:rsidRPr="000B0AC8">
        <w:rPr>
          <w:rFonts w:ascii="Calibri" w:eastAsia="Calibri" w:hAnsi="Calibri" w:cs="Calibri"/>
          <w:color w:val="000000"/>
          <w:sz w:val="24"/>
          <w:szCs w:val="24"/>
        </w:rPr>
        <w:t xml:space="preserve"> leurs engagements relatifs aux questions environnementales et vis-à-vis des populations qui deviennent plus vulnérables,</w:t>
      </w:r>
    </w:p>
    <w:p w14:paraId="0CA27627" w14:textId="77777777" w:rsidR="00DD013D" w:rsidRPr="000B0AC8" w:rsidRDefault="00DD013D" w:rsidP="00DD013D">
      <w:pPr>
        <w:numPr>
          <w:ilvl w:val="0"/>
          <w:numId w:val="43"/>
        </w:numPr>
        <w:pBdr>
          <w:top w:val="nil"/>
          <w:left w:val="nil"/>
          <w:bottom w:val="nil"/>
          <w:right w:val="nil"/>
          <w:between w:val="nil"/>
        </w:pBdr>
        <w:spacing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 xml:space="preserve">La prochaine CDN devrait prêter attention aux reproches des élus locaux à l’encontre des réseaux de télécommunication qui installent leurs pylônes dans des communes en payant juste la taxe d’occupation de site sans considérer leur impact néfaste sur la santé des populations. </w:t>
      </w:r>
    </w:p>
    <w:p w14:paraId="4E4C52AB" w14:textId="77777777" w:rsidR="008B519B" w:rsidRPr="000B0AC8" w:rsidRDefault="008B519B" w:rsidP="008B519B">
      <w:pPr>
        <w:spacing w:after="0" w:line="240" w:lineRule="auto"/>
        <w:jc w:val="both"/>
        <w:rPr>
          <w:rFonts w:ascii="Calibri" w:eastAsia="Calibri" w:hAnsi="Calibri" w:cs="Calibri"/>
          <w:b/>
          <w:bCs/>
          <w:sz w:val="24"/>
          <w:szCs w:val="24"/>
        </w:rPr>
      </w:pPr>
    </w:p>
    <w:p w14:paraId="1195324B" w14:textId="3CE23D09" w:rsidR="00BC0ACA" w:rsidRPr="000B0AC8" w:rsidRDefault="00BC0ACA" w:rsidP="000B0AC8">
      <w:pPr>
        <w:spacing w:after="0" w:line="240" w:lineRule="auto"/>
        <w:jc w:val="both"/>
        <w:rPr>
          <w:rFonts w:ascii="Calibri" w:eastAsia="Calibri" w:hAnsi="Calibri" w:cs="Calibri"/>
          <w:color w:val="93DE61" w:themeColor="accent2" w:themeTint="99"/>
          <w:sz w:val="28"/>
          <w:szCs w:val="28"/>
        </w:rPr>
      </w:pPr>
      <w:r w:rsidRPr="000B0AC8">
        <w:rPr>
          <w:rFonts w:ascii="Calibri" w:eastAsia="Calibri" w:hAnsi="Calibri" w:cs="Calibri"/>
          <w:color w:val="93DE61" w:themeColor="accent2" w:themeTint="99"/>
          <w:sz w:val="28"/>
          <w:szCs w:val="28"/>
        </w:rPr>
        <w:t xml:space="preserve">Pour la nouvelle CDN et en se basant sur l’analyse des contraintes et des leçons apprises, les principales recommandations suivantes sont </w:t>
      </w:r>
      <w:r w:rsidR="008B519B" w:rsidRPr="000B0AC8">
        <w:rPr>
          <w:rFonts w:ascii="Calibri" w:eastAsia="Calibri" w:hAnsi="Calibri" w:cs="Calibri"/>
          <w:color w:val="93DE61" w:themeColor="accent2" w:themeTint="99"/>
          <w:sz w:val="28"/>
          <w:szCs w:val="28"/>
        </w:rPr>
        <w:t>définies pour assurer le pilotage optimal des projets</w:t>
      </w:r>
      <w:r w:rsidRPr="000B0AC8">
        <w:rPr>
          <w:rFonts w:ascii="Calibri" w:eastAsia="Calibri" w:hAnsi="Calibri" w:cs="Calibri"/>
          <w:color w:val="93DE61" w:themeColor="accent2" w:themeTint="99"/>
          <w:sz w:val="28"/>
          <w:szCs w:val="28"/>
        </w:rPr>
        <w:t>.</w:t>
      </w:r>
    </w:p>
    <w:p w14:paraId="19C6873C" w14:textId="1AF4E63A" w:rsidR="008B519B" w:rsidRPr="000B0AC8" w:rsidRDefault="008B519B" w:rsidP="000B0AC8">
      <w:pPr>
        <w:spacing w:after="0" w:line="240" w:lineRule="auto"/>
        <w:jc w:val="both"/>
        <w:rPr>
          <w:rFonts w:ascii="Calibri" w:eastAsia="Calibri" w:hAnsi="Calibri" w:cs="Calibri"/>
          <w:b/>
          <w:bCs/>
          <w:sz w:val="24"/>
          <w:szCs w:val="24"/>
        </w:rPr>
      </w:pPr>
      <w:r w:rsidRPr="000B0AC8">
        <w:rPr>
          <w:rFonts w:ascii="Calibri" w:eastAsia="Calibri" w:hAnsi="Calibri" w:cs="Calibri"/>
          <w:sz w:val="24"/>
          <w:szCs w:val="24"/>
        </w:rPr>
        <w:t>La prochaine CDN devrait affiner la réflexion sur la nature des données à collecter en matière de quantification du carbone et les méthodes de collecte.</w:t>
      </w:r>
    </w:p>
    <w:p w14:paraId="789AC572" w14:textId="77777777" w:rsidR="008B519B" w:rsidRPr="000B0AC8" w:rsidRDefault="008B519B" w:rsidP="008B519B">
      <w:pPr>
        <w:pBdr>
          <w:top w:val="nil"/>
          <w:left w:val="nil"/>
          <w:bottom w:val="nil"/>
          <w:right w:val="nil"/>
          <w:between w:val="nil"/>
        </w:pBdr>
        <w:spacing w:after="0" w:line="240" w:lineRule="auto"/>
        <w:jc w:val="both"/>
        <w:rPr>
          <w:rFonts w:ascii="Calibri" w:eastAsia="Calibri" w:hAnsi="Calibri" w:cs="Calibri"/>
          <w:bCs/>
          <w:i/>
          <w:iCs/>
          <w:color w:val="000000"/>
          <w:sz w:val="24"/>
          <w:szCs w:val="24"/>
          <w:u w:val="single"/>
        </w:rPr>
      </w:pPr>
    </w:p>
    <w:p w14:paraId="23B72FB4" w14:textId="6F2EFC87" w:rsidR="00BC0ACA" w:rsidRPr="000B0AC8" w:rsidRDefault="00BC0ACA" w:rsidP="000B0AC8">
      <w:pPr>
        <w:pBdr>
          <w:top w:val="nil"/>
          <w:left w:val="nil"/>
          <w:bottom w:val="nil"/>
          <w:right w:val="nil"/>
          <w:between w:val="nil"/>
        </w:pBdr>
        <w:spacing w:after="0" w:line="240" w:lineRule="auto"/>
        <w:jc w:val="both"/>
        <w:rPr>
          <w:rFonts w:ascii="Calibri" w:eastAsia="Calibri" w:hAnsi="Calibri" w:cs="Calibri"/>
          <w:bCs/>
          <w:i/>
          <w:iCs/>
          <w:color w:val="000000"/>
          <w:sz w:val="24"/>
          <w:szCs w:val="24"/>
          <w:u w:val="single"/>
        </w:rPr>
      </w:pPr>
      <w:r w:rsidRPr="000B0AC8">
        <w:rPr>
          <w:rFonts w:ascii="Calibri" w:eastAsia="Calibri" w:hAnsi="Calibri" w:cs="Calibri"/>
          <w:bCs/>
          <w:i/>
          <w:iCs/>
          <w:color w:val="000000"/>
          <w:sz w:val="24"/>
          <w:szCs w:val="24"/>
          <w:u w:val="single"/>
        </w:rPr>
        <w:t>Pour les DGESS des ministères</w:t>
      </w:r>
    </w:p>
    <w:p w14:paraId="45ADD8AB" w14:textId="77777777" w:rsidR="00BC0ACA" w:rsidRPr="000B0AC8" w:rsidRDefault="00BC0ACA" w:rsidP="000B0AC8">
      <w:pPr>
        <w:numPr>
          <w:ilvl w:val="0"/>
          <w:numId w:val="48"/>
        </w:numPr>
        <w:pBdr>
          <w:top w:val="nil"/>
          <w:left w:val="nil"/>
          <w:bottom w:val="nil"/>
          <w:right w:val="nil"/>
          <w:between w:val="nil"/>
        </w:pBdr>
        <w:spacing w:after="0" w:line="240" w:lineRule="auto"/>
        <w:ind w:left="142" w:hanging="142"/>
        <w:jc w:val="both"/>
        <w:rPr>
          <w:rFonts w:ascii="Calibri" w:eastAsia="Calibri" w:hAnsi="Calibri" w:cs="Calibri"/>
          <w:b/>
          <w:color w:val="000000"/>
          <w:sz w:val="24"/>
          <w:szCs w:val="24"/>
        </w:rPr>
      </w:pPr>
      <w:r w:rsidRPr="000B0AC8">
        <w:rPr>
          <w:rFonts w:ascii="Calibri" w:eastAsia="Calibri" w:hAnsi="Calibri" w:cs="Calibri"/>
          <w:color w:val="000000"/>
          <w:sz w:val="24"/>
          <w:szCs w:val="24"/>
        </w:rPr>
        <w:t>Rendre obligatoire la prise en compte du genre dans la collecte des données et dans la capitalisation des résultats des projets et programmes suivi dans le cadre de la future CDN,</w:t>
      </w:r>
    </w:p>
    <w:p w14:paraId="395DEE84" w14:textId="77777777" w:rsidR="00BC0ACA" w:rsidRPr="000B0AC8" w:rsidRDefault="00BC0ACA" w:rsidP="000B0AC8">
      <w:pPr>
        <w:numPr>
          <w:ilvl w:val="0"/>
          <w:numId w:val="48"/>
        </w:numPr>
        <w:pBdr>
          <w:top w:val="nil"/>
          <w:left w:val="nil"/>
          <w:bottom w:val="nil"/>
          <w:right w:val="nil"/>
          <w:between w:val="nil"/>
        </w:pBdr>
        <w:spacing w:after="0" w:line="240" w:lineRule="auto"/>
        <w:ind w:left="142" w:hanging="142"/>
        <w:jc w:val="both"/>
        <w:rPr>
          <w:rFonts w:ascii="Calibri" w:eastAsia="Calibri" w:hAnsi="Calibri" w:cs="Calibri"/>
          <w:b/>
          <w:color w:val="000000"/>
          <w:sz w:val="24"/>
          <w:szCs w:val="24"/>
        </w:rPr>
      </w:pPr>
      <w:r w:rsidRPr="000B0AC8">
        <w:rPr>
          <w:rFonts w:ascii="Calibri" w:eastAsia="Calibri" w:hAnsi="Calibri" w:cs="Calibri"/>
          <w:color w:val="000000"/>
          <w:sz w:val="24"/>
          <w:szCs w:val="24"/>
        </w:rPr>
        <w:t>Intégrer systématiquement la quantification du carbone économisé dans les projets et programmes de développement en lien avec ou pas la CDN,</w:t>
      </w:r>
    </w:p>
    <w:p w14:paraId="401D1E0D" w14:textId="77777777" w:rsidR="00BC0ACA" w:rsidRPr="000B0AC8" w:rsidRDefault="00BC0ACA" w:rsidP="000B0AC8">
      <w:pPr>
        <w:numPr>
          <w:ilvl w:val="0"/>
          <w:numId w:val="48"/>
        </w:numPr>
        <w:pBdr>
          <w:top w:val="nil"/>
          <w:left w:val="nil"/>
          <w:bottom w:val="nil"/>
          <w:right w:val="nil"/>
          <w:between w:val="nil"/>
        </w:pBdr>
        <w:spacing w:after="0" w:line="240" w:lineRule="auto"/>
        <w:ind w:left="142" w:hanging="142"/>
        <w:jc w:val="both"/>
        <w:rPr>
          <w:rFonts w:ascii="Calibri" w:eastAsia="Calibri" w:hAnsi="Calibri" w:cs="Calibri"/>
          <w:b/>
          <w:color w:val="000000"/>
          <w:sz w:val="24"/>
          <w:szCs w:val="24"/>
        </w:rPr>
      </w:pPr>
      <w:r w:rsidRPr="000B0AC8">
        <w:rPr>
          <w:rFonts w:ascii="Calibri" w:eastAsia="Calibri" w:hAnsi="Calibri" w:cs="Calibri"/>
          <w:color w:val="000000"/>
          <w:sz w:val="24"/>
          <w:szCs w:val="24"/>
        </w:rPr>
        <w:t>Renforcer la synergie entre les acteurs/institutions de recherche pour améliorer la coordination et la promotion des résultats de la recherche en lien avec l’adaptation et l’atténuation.</w:t>
      </w:r>
    </w:p>
    <w:p w14:paraId="640CA787" w14:textId="77777777" w:rsidR="008B519B" w:rsidRPr="000B0AC8" w:rsidRDefault="008B519B" w:rsidP="008B519B">
      <w:pPr>
        <w:pBdr>
          <w:top w:val="nil"/>
          <w:left w:val="nil"/>
          <w:bottom w:val="nil"/>
          <w:right w:val="nil"/>
          <w:between w:val="nil"/>
        </w:pBdr>
        <w:spacing w:after="0" w:line="240" w:lineRule="auto"/>
        <w:jc w:val="both"/>
        <w:rPr>
          <w:rFonts w:ascii="Calibri" w:eastAsia="Calibri" w:hAnsi="Calibri" w:cs="Calibri"/>
          <w:bCs/>
          <w:i/>
          <w:iCs/>
          <w:color w:val="000000"/>
          <w:sz w:val="24"/>
          <w:szCs w:val="24"/>
          <w:u w:val="single"/>
        </w:rPr>
      </w:pPr>
    </w:p>
    <w:p w14:paraId="3816BC14" w14:textId="35890189" w:rsidR="00BC0ACA" w:rsidRPr="000B0AC8" w:rsidRDefault="00BC0ACA" w:rsidP="000B0AC8">
      <w:pPr>
        <w:pBdr>
          <w:top w:val="nil"/>
          <w:left w:val="nil"/>
          <w:bottom w:val="nil"/>
          <w:right w:val="nil"/>
          <w:between w:val="nil"/>
        </w:pBdr>
        <w:spacing w:after="0" w:line="240" w:lineRule="auto"/>
        <w:jc w:val="both"/>
        <w:rPr>
          <w:rFonts w:ascii="Calibri" w:eastAsia="Calibri" w:hAnsi="Calibri" w:cs="Calibri"/>
          <w:bCs/>
          <w:i/>
          <w:iCs/>
          <w:color w:val="000000"/>
          <w:sz w:val="24"/>
          <w:szCs w:val="24"/>
          <w:u w:val="single"/>
        </w:rPr>
      </w:pPr>
      <w:r w:rsidRPr="000B0AC8">
        <w:rPr>
          <w:rFonts w:ascii="Calibri" w:eastAsia="Calibri" w:hAnsi="Calibri" w:cs="Calibri"/>
          <w:bCs/>
          <w:i/>
          <w:iCs/>
          <w:color w:val="000000"/>
          <w:sz w:val="24"/>
          <w:szCs w:val="24"/>
          <w:u w:val="single"/>
        </w:rPr>
        <w:t>Pour le SP/CNDD, le SP/ONDD et les PTF</w:t>
      </w:r>
    </w:p>
    <w:p w14:paraId="5B3A1F8F" w14:textId="77777777" w:rsidR="00BC0ACA" w:rsidRPr="000B0AC8" w:rsidRDefault="00BC0ACA" w:rsidP="000B0AC8">
      <w:pPr>
        <w:numPr>
          <w:ilvl w:val="0"/>
          <w:numId w:val="48"/>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Opérationnaliser le dispositif de suivi-évaluation dans la future CDN et assurer son fonctionnement en prévoyant des ressources conséquentes,</w:t>
      </w:r>
    </w:p>
    <w:p w14:paraId="5FD9980D" w14:textId="033C0E5F" w:rsidR="00BC0ACA" w:rsidRPr="000B0AC8" w:rsidRDefault="00BC0ACA" w:rsidP="000B0AC8">
      <w:pPr>
        <w:numPr>
          <w:ilvl w:val="0"/>
          <w:numId w:val="48"/>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 xml:space="preserve">Assurer la promotion de la CDN à travers des moyens et outils adaptés pour une meilleure connaissance de la CDN par les différents acteurs et actrices : ateliers d’information, présentations lors des différents cadres de concertations des services administratifs déconcentrés, messages radiophoniques et télévisuels, théâtres – </w:t>
      </w:r>
      <w:r w:rsidRPr="004853AA">
        <w:rPr>
          <w:rFonts w:ascii="Calibri" w:eastAsia="Calibri" w:hAnsi="Calibri" w:cs="Calibri"/>
          <w:color w:val="000000"/>
          <w:sz w:val="24"/>
          <w:szCs w:val="24"/>
        </w:rPr>
        <w:t>forums, etc</w:t>
      </w:r>
      <w:r w:rsidR="00DE3015" w:rsidRPr="004853AA">
        <w:rPr>
          <w:rFonts w:ascii="Calibri" w:eastAsia="Calibri" w:hAnsi="Calibri" w:cs="Calibri"/>
          <w:color w:val="000000"/>
          <w:sz w:val="24"/>
          <w:szCs w:val="24"/>
        </w:rPr>
        <w:t>.</w:t>
      </w:r>
      <w:r w:rsidRPr="004853AA">
        <w:rPr>
          <w:rFonts w:ascii="Calibri" w:eastAsia="Calibri" w:hAnsi="Calibri" w:cs="Calibri"/>
          <w:color w:val="000000"/>
          <w:sz w:val="24"/>
          <w:szCs w:val="24"/>
        </w:rPr>
        <w:t>,</w:t>
      </w:r>
    </w:p>
    <w:p w14:paraId="38D26AAB" w14:textId="045E36C1" w:rsidR="004936A4" w:rsidRPr="0028763D" w:rsidRDefault="00BC0ACA" w:rsidP="000B0AC8">
      <w:pPr>
        <w:numPr>
          <w:ilvl w:val="0"/>
          <w:numId w:val="48"/>
        </w:numPr>
        <w:pBdr>
          <w:top w:val="nil"/>
          <w:left w:val="nil"/>
          <w:bottom w:val="nil"/>
          <w:right w:val="nil"/>
          <w:between w:val="nil"/>
        </w:pBdr>
        <w:spacing w:after="0" w:line="240" w:lineRule="auto"/>
        <w:ind w:left="142" w:hanging="142"/>
        <w:jc w:val="both"/>
        <w:rPr>
          <w:rFonts w:ascii="Calibri" w:eastAsia="Calibri" w:hAnsi="Calibri" w:cs="Calibri"/>
          <w:color w:val="000000"/>
          <w:sz w:val="24"/>
          <w:szCs w:val="24"/>
        </w:rPr>
      </w:pPr>
      <w:r w:rsidRPr="000B0AC8">
        <w:rPr>
          <w:rFonts w:ascii="Calibri" w:eastAsia="Calibri" w:hAnsi="Calibri" w:cs="Calibri"/>
          <w:color w:val="000000"/>
          <w:sz w:val="24"/>
          <w:szCs w:val="24"/>
        </w:rPr>
        <w:t>Développer une plateforme de gestion et de partage des connaissances sur la CDN et sur l’ensemble des politiques sectorielles associées.</w:t>
      </w:r>
    </w:p>
    <w:sectPr w:rsidR="004936A4" w:rsidRPr="0028763D" w:rsidSect="00D91806">
      <w:headerReference w:type="default" r:id="rId9"/>
      <w:pgSz w:w="11906" w:h="16838"/>
      <w:pgMar w:top="1134" w:right="1134" w:bottom="1134" w:left="1134"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AF2C0D" w14:textId="77777777" w:rsidR="00FD473A" w:rsidRDefault="00FD473A">
      <w:pPr>
        <w:spacing w:after="0" w:line="240" w:lineRule="auto"/>
      </w:pPr>
      <w:r>
        <w:separator/>
      </w:r>
    </w:p>
  </w:endnote>
  <w:endnote w:type="continuationSeparator" w:id="0">
    <w:p w14:paraId="274F8D5B" w14:textId="77777777" w:rsidR="00FD473A" w:rsidRDefault="00FD47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Trebuchet MS">
    <w:panose1 w:val="020B0603020202020204"/>
    <w:charset w:val="00"/>
    <w:family w:val="swiss"/>
    <w:pitch w:val="variable"/>
    <w:sig w:usb0="000006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615E5C" w14:textId="77777777" w:rsidR="00FD473A" w:rsidRDefault="00FD473A">
      <w:pPr>
        <w:spacing w:after="0" w:line="240" w:lineRule="auto"/>
      </w:pPr>
      <w:r>
        <w:separator/>
      </w:r>
    </w:p>
  </w:footnote>
  <w:footnote w:type="continuationSeparator" w:id="0">
    <w:p w14:paraId="415E9A8C" w14:textId="77777777" w:rsidR="00FD473A" w:rsidRDefault="00FD47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D2CDA1" w14:textId="77777777" w:rsidR="004936A4" w:rsidRDefault="006F3B84">
    <w:pPr>
      <w:pBdr>
        <w:top w:val="nil"/>
        <w:left w:val="nil"/>
        <w:bottom w:val="nil"/>
        <w:right w:val="nil"/>
        <w:between w:val="nil"/>
      </w:pBdr>
      <w:tabs>
        <w:tab w:val="center" w:pos="4536"/>
        <w:tab w:val="right" w:pos="9072"/>
      </w:tabs>
      <w:spacing w:after="0" w:line="240" w:lineRule="auto"/>
      <w:rPr>
        <w:color w:val="000000"/>
      </w:rPr>
    </w:pPr>
    <w:r>
      <w:rPr>
        <w:rFonts w:ascii="Trebuchet MS" w:eastAsia="Trebuchet MS" w:hAnsi="Trebuchet MS" w:cs="Trebuchet MS"/>
        <w:color w:val="000000"/>
        <w:sz w:val="20"/>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D90D7F"/>
    <w:multiLevelType w:val="hybridMultilevel"/>
    <w:tmpl w:val="DC5E8F8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CC71EF"/>
    <w:multiLevelType w:val="multilevel"/>
    <w:tmpl w:val="43BAA398"/>
    <w:lvl w:ilvl="0">
      <w:start w:val="1"/>
      <w:numFmt w:val="bullet"/>
      <w:lvlText w:val="-"/>
      <w:lvlJc w:val="left"/>
      <w:pPr>
        <w:ind w:left="1080" w:hanging="360"/>
      </w:pPr>
      <w:rPr>
        <w:rFonts w:ascii="Calibri" w:eastAsia="Calibri" w:hAnsi="Calibri" w:cs="Calibri"/>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 w15:restartNumberingAfterBreak="0">
    <w:nsid w:val="07707F8D"/>
    <w:multiLevelType w:val="multilevel"/>
    <w:tmpl w:val="306ACB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8165F0F"/>
    <w:multiLevelType w:val="multilevel"/>
    <w:tmpl w:val="09C2B4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99D75A4"/>
    <w:multiLevelType w:val="multilevel"/>
    <w:tmpl w:val="D1926C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CB47F2D"/>
    <w:multiLevelType w:val="multilevel"/>
    <w:tmpl w:val="6C0A56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0E503B50"/>
    <w:multiLevelType w:val="multilevel"/>
    <w:tmpl w:val="74F8D0E4"/>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2CA0147"/>
    <w:multiLevelType w:val="multilevel"/>
    <w:tmpl w:val="FAD09E0A"/>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369568B"/>
    <w:multiLevelType w:val="hybridMultilevel"/>
    <w:tmpl w:val="C5805C6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4D5D2D"/>
    <w:multiLevelType w:val="hybridMultilevel"/>
    <w:tmpl w:val="C27CC68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BFC573D"/>
    <w:multiLevelType w:val="multilevel"/>
    <w:tmpl w:val="1876D6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1BFF3B17"/>
    <w:multiLevelType w:val="hybridMultilevel"/>
    <w:tmpl w:val="EC6A2BD0"/>
    <w:lvl w:ilvl="0" w:tplc="08090005">
      <w:start w:val="1"/>
      <w:numFmt w:val="bullet"/>
      <w:lvlText w:val=""/>
      <w:lvlJc w:val="left"/>
      <w:pPr>
        <w:ind w:left="1004" w:hanging="360"/>
      </w:pPr>
      <w:rPr>
        <w:rFonts w:ascii="Wingdings" w:hAnsi="Wingdings"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2" w15:restartNumberingAfterBreak="0">
    <w:nsid w:val="1DDD53BB"/>
    <w:multiLevelType w:val="multilevel"/>
    <w:tmpl w:val="D5221BF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1E207118"/>
    <w:multiLevelType w:val="multilevel"/>
    <w:tmpl w:val="CC1ABC5C"/>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28520B20"/>
    <w:multiLevelType w:val="hybridMultilevel"/>
    <w:tmpl w:val="037E653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D211602"/>
    <w:multiLevelType w:val="multilevel"/>
    <w:tmpl w:val="DA48BD08"/>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2D681FB6"/>
    <w:multiLevelType w:val="multilevel"/>
    <w:tmpl w:val="6E3E99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2D7A5D19"/>
    <w:multiLevelType w:val="multilevel"/>
    <w:tmpl w:val="BCE07224"/>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30351F35"/>
    <w:multiLevelType w:val="hybridMultilevel"/>
    <w:tmpl w:val="59F8ED86"/>
    <w:lvl w:ilvl="0" w:tplc="9C4E027A">
      <w:start w:val="11"/>
      <w:numFmt w:val="bullet"/>
      <w:lvlText w:val="-"/>
      <w:lvlJc w:val="left"/>
      <w:pPr>
        <w:ind w:left="720" w:hanging="360"/>
      </w:pPr>
      <w:rPr>
        <w:rFonts w:ascii="Trebuchet MS" w:eastAsiaTheme="minorEastAsia"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19B3343"/>
    <w:multiLevelType w:val="multilevel"/>
    <w:tmpl w:val="93D00D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32442A5B"/>
    <w:multiLevelType w:val="hybridMultilevel"/>
    <w:tmpl w:val="352C68BE"/>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5B47856"/>
    <w:multiLevelType w:val="multilevel"/>
    <w:tmpl w:val="B34ABEB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3AEB0D2F"/>
    <w:multiLevelType w:val="multilevel"/>
    <w:tmpl w:val="929CD4D8"/>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3B6F4EEF"/>
    <w:multiLevelType w:val="hybridMultilevel"/>
    <w:tmpl w:val="93EAE976"/>
    <w:lvl w:ilvl="0" w:tplc="0CF441CC">
      <w:start w:val="1"/>
      <w:numFmt w:val="upperRoman"/>
      <w:lvlText w:val="%1."/>
      <w:lvlJc w:val="left"/>
      <w:pPr>
        <w:ind w:left="1080" w:hanging="720"/>
      </w:pPr>
      <w:rPr>
        <w:rFonts w:hint="default"/>
        <w:color w:val="54A021" w:themeColor="accent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01F34DD"/>
    <w:multiLevelType w:val="multilevel"/>
    <w:tmpl w:val="F5B002C0"/>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41D71464"/>
    <w:multiLevelType w:val="multilevel"/>
    <w:tmpl w:val="0E60ED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43513421"/>
    <w:multiLevelType w:val="multilevel"/>
    <w:tmpl w:val="42D43372"/>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46E8692D"/>
    <w:multiLevelType w:val="hybridMultilevel"/>
    <w:tmpl w:val="53D20F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AFA24BC"/>
    <w:multiLevelType w:val="multilevel"/>
    <w:tmpl w:val="42FE613A"/>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4BAB2C9E"/>
    <w:multiLevelType w:val="multilevel"/>
    <w:tmpl w:val="A698B04C"/>
    <w:lvl w:ilvl="0">
      <w:start w:val="1"/>
      <w:numFmt w:val="upperRoman"/>
      <w:lvlText w:val="%1."/>
      <w:lvlJc w:val="left"/>
      <w:pPr>
        <w:ind w:left="1080" w:hanging="720"/>
      </w:pPr>
    </w:lvl>
    <w:lvl w:ilvl="1">
      <w:start w:val="2"/>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30" w15:restartNumberingAfterBreak="0">
    <w:nsid w:val="4BED7DE6"/>
    <w:multiLevelType w:val="hybridMultilevel"/>
    <w:tmpl w:val="207212D2"/>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4BF70794"/>
    <w:multiLevelType w:val="hybridMultilevel"/>
    <w:tmpl w:val="C5C82250"/>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E5133FB"/>
    <w:multiLevelType w:val="multilevel"/>
    <w:tmpl w:val="B64E74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51730213"/>
    <w:multiLevelType w:val="hybridMultilevel"/>
    <w:tmpl w:val="03927B7A"/>
    <w:lvl w:ilvl="0" w:tplc="6A3E6E2C">
      <w:start w:val="1"/>
      <w:numFmt w:val="upperLetter"/>
      <w:lvlText w:val="%1."/>
      <w:lvlJc w:val="left"/>
      <w:pPr>
        <w:ind w:left="720" w:hanging="360"/>
      </w:pPr>
      <w:rPr>
        <w:rFonts w:hint="default"/>
        <w:b/>
        <w:color w:val="54A021" w:themeColor="accent2"/>
        <w:sz w:val="36"/>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25A0432"/>
    <w:multiLevelType w:val="multilevel"/>
    <w:tmpl w:val="456A43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53070147"/>
    <w:multiLevelType w:val="multilevel"/>
    <w:tmpl w:val="58F29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53C2057A"/>
    <w:multiLevelType w:val="multilevel"/>
    <w:tmpl w:val="8E3CF5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15:restartNumberingAfterBreak="0">
    <w:nsid w:val="53ED7133"/>
    <w:multiLevelType w:val="multilevel"/>
    <w:tmpl w:val="17F226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8" w15:restartNumberingAfterBreak="0">
    <w:nsid w:val="58575D2D"/>
    <w:multiLevelType w:val="multilevel"/>
    <w:tmpl w:val="B64864D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62D14386"/>
    <w:multiLevelType w:val="multilevel"/>
    <w:tmpl w:val="1F346C5C"/>
    <w:lvl w:ilvl="0">
      <w:start w:val="1"/>
      <w:numFmt w:val="bullet"/>
      <w:lvlText w:val=""/>
      <w:lvlJc w:val="left"/>
      <w:pPr>
        <w:ind w:left="1080" w:hanging="360"/>
      </w:pPr>
      <w:rPr>
        <w:rFonts w:ascii="Wingdings" w:hAnsi="Wingdings" w:hint="default"/>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40" w15:restartNumberingAfterBreak="0">
    <w:nsid w:val="6B5F6E88"/>
    <w:multiLevelType w:val="hybridMultilevel"/>
    <w:tmpl w:val="3D4878A8"/>
    <w:lvl w:ilvl="0" w:tplc="FFFFFFFF">
      <w:start w:val="1"/>
      <w:numFmt w:val="bullet"/>
      <w:lvlText w:val=""/>
      <w:lvlJc w:val="left"/>
      <w:pPr>
        <w:ind w:left="720" w:hanging="360"/>
      </w:pPr>
      <w:rPr>
        <w:rFonts w:ascii="Wingdings" w:hAnsi="Wingdings" w:hint="default"/>
      </w:rPr>
    </w:lvl>
    <w:lvl w:ilvl="1" w:tplc="0809000B">
      <w:start w:val="1"/>
      <w:numFmt w:val="bullet"/>
      <w:lvlText w:val=""/>
      <w:lvlJc w:val="left"/>
      <w:pPr>
        <w:ind w:left="1440"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6C024AC1"/>
    <w:multiLevelType w:val="hybridMultilevel"/>
    <w:tmpl w:val="3592806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78E4CC0"/>
    <w:multiLevelType w:val="multilevel"/>
    <w:tmpl w:val="F1608C72"/>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3" w15:restartNumberingAfterBreak="0">
    <w:nsid w:val="795F75F0"/>
    <w:multiLevelType w:val="multilevel"/>
    <w:tmpl w:val="2DE07776"/>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4" w15:restartNumberingAfterBreak="0">
    <w:nsid w:val="79AD256D"/>
    <w:multiLevelType w:val="multilevel"/>
    <w:tmpl w:val="0EE2791C"/>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15:restartNumberingAfterBreak="0">
    <w:nsid w:val="7CD67067"/>
    <w:multiLevelType w:val="hybridMultilevel"/>
    <w:tmpl w:val="ECE6B53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DA33B25"/>
    <w:multiLevelType w:val="multilevel"/>
    <w:tmpl w:val="8DDCA7BC"/>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7E986EE0"/>
    <w:multiLevelType w:val="multilevel"/>
    <w:tmpl w:val="CA0A9E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007898037">
    <w:abstractNumId w:val="29"/>
  </w:num>
  <w:num w:numId="2" w16cid:durableId="1041829748">
    <w:abstractNumId w:val="21"/>
  </w:num>
  <w:num w:numId="3" w16cid:durableId="573442531">
    <w:abstractNumId w:val="36"/>
  </w:num>
  <w:num w:numId="4" w16cid:durableId="964390847">
    <w:abstractNumId w:val="3"/>
  </w:num>
  <w:num w:numId="5" w16cid:durableId="935669063">
    <w:abstractNumId w:val="37"/>
  </w:num>
  <w:num w:numId="6" w16cid:durableId="146023547">
    <w:abstractNumId w:val="1"/>
  </w:num>
  <w:num w:numId="7" w16cid:durableId="1838181772">
    <w:abstractNumId w:val="25"/>
  </w:num>
  <w:num w:numId="8" w16cid:durableId="896359707">
    <w:abstractNumId w:val="15"/>
  </w:num>
  <w:num w:numId="9" w16cid:durableId="680552723">
    <w:abstractNumId w:val="4"/>
  </w:num>
  <w:num w:numId="10" w16cid:durableId="449130399">
    <w:abstractNumId w:val="47"/>
  </w:num>
  <w:num w:numId="11" w16cid:durableId="401145995">
    <w:abstractNumId w:val="19"/>
  </w:num>
  <w:num w:numId="12" w16cid:durableId="1498954927">
    <w:abstractNumId w:val="34"/>
  </w:num>
  <w:num w:numId="13" w16cid:durableId="1233007867">
    <w:abstractNumId w:val="35"/>
  </w:num>
  <w:num w:numId="14" w16cid:durableId="398016031">
    <w:abstractNumId w:val="38"/>
  </w:num>
  <w:num w:numId="15" w16cid:durableId="47805592">
    <w:abstractNumId w:val="32"/>
  </w:num>
  <w:num w:numId="16" w16cid:durableId="2095927746">
    <w:abstractNumId w:val="2"/>
  </w:num>
  <w:num w:numId="17" w16cid:durableId="138040754">
    <w:abstractNumId w:val="10"/>
  </w:num>
  <w:num w:numId="18" w16cid:durableId="1534419354">
    <w:abstractNumId w:val="5"/>
  </w:num>
  <w:num w:numId="19" w16cid:durableId="1343899806">
    <w:abstractNumId w:val="16"/>
  </w:num>
  <w:num w:numId="20" w16cid:durableId="1347633213">
    <w:abstractNumId w:val="23"/>
  </w:num>
  <w:num w:numId="21" w16cid:durableId="1338923501">
    <w:abstractNumId w:val="14"/>
  </w:num>
  <w:num w:numId="22" w16cid:durableId="1791702144">
    <w:abstractNumId w:val="22"/>
  </w:num>
  <w:num w:numId="23" w16cid:durableId="1384210452">
    <w:abstractNumId w:val="20"/>
  </w:num>
  <w:num w:numId="24" w16cid:durableId="347296787">
    <w:abstractNumId w:val="40"/>
  </w:num>
  <w:num w:numId="25" w16cid:durableId="359086874">
    <w:abstractNumId w:val="9"/>
  </w:num>
  <w:num w:numId="26" w16cid:durableId="1215850417">
    <w:abstractNumId w:val="46"/>
  </w:num>
  <w:num w:numId="27" w16cid:durableId="1456676597">
    <w:abstractNumId w:val="17"/>
  </w:num>
  <w:num w:numId="28" w16cid:durableId="446126319">
    <w:abstractNumId w:val="0"/>
  </w:num>
  <w:num w:numId="29" w16cid:durableId="1687362229">
    <w:abstractNumId w:val="27"/>
  </w:num>
  <w:num w:numId="30" w16cid:durableId="751001460">
    <w:abstractNumId w:val="6"/>
  </w:num>
  <w:num w:numId="31" w16cid:durableId="1184593883">
    <w:abstractNumId w:val="30"/>
  </w:num>
  <w:num w:numId="32" w16cid:durableId="197402383">
    <w:abstractNumId w:val="31"/>
  </w:num>
  <w:num w:numId="33" w16cid:durableId="222954125">
    <w:abstractNumId w:val="45"/>
  </w:num>
  <w:num w:numId="34" w16cid:durableId="105545185">
    <w:abstractNumId w:val="13"/>
  </w:num>
  <w:num w:numId="35" w16cid:durableId="1257716255">
    <w:abstractNumId w:val="24"/>
  </w:num>
  <w:num w:numId="36" w16cid:durableId="343091603">
    <w:abstractNumId w:val="26"/>
  </w:num>
  <w:num w:numId="37" w16cid:durableId="714043299">
    <w:abstractNumId w:val="7"/>
  </w:num>
  <w:num w:numId="38" w16cid:durableId="887641580">
    <w:abstractNumId w:val="42"/>
  </w:num>
  <w:num w:numId="39" w16cid:durableId="241137685">
    <w:abstractNumId w:val="44"/>
  </w:num>
  <w:num w:numId="40" w16cid:durableId="1316185268">
    <w:abstractNumId w:val="43"/>
  </w:num>
  <w:num w:numId="41" w16cid:durableId="235169248">
    <w:abstractNumId w:val="8"/>
  </w:num>
  <w:num w:numId="42" w16cid:durableId="1610237480">
    <w:abstractNumId w:val="12"/>
  </w:num>
  <w:num w:numId="43" w16cid:durableId="1895659922">
    <w:abstractNumId w:val="28"/>
  </w:num>
  <w:num w:numId="44" w16cid:durableId="724446833">
    <w:abstractNumId w:val="18"/>
  </w:num>
  <w:num w:numId="45" w16cid:durableId="1269579393">
    <w:abstractNumId w:val="11"/>
  </w:num>
  <w:num w:numId="46" w16cid:durableId="2058160039">
    <w:abstractNumId w:val="33"/>
  </w:num>
  <w:num w:numId="47" w16cid:durableId="2035572154">
    <w:abstractNumId w:val="41"/>
  </w:num>
  <w:num w:numId="48" w16cid:durableId="796216752">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36A4"/>
    <w:rsid w:val="00026454"/>
    <w:rsid w:val="000423DE"/>
    <w:rsid w:val="000612E6"/>
    <w:rsid w:val="00085303"/>
    <w:rsid w:val="000909C4"/>
    <w:rsid w:val="000A4499"/>
    <w:rsid w:val="000B0AC8"/>
    <w:rsid w:val="000D0280"/>
    <w:rsid w:val="000D75F2"/>
    <w:rsid w:val="000E5A90"/>
    <w:rsid w:val="000E6A86"/>
    <w:rsid w:val="00115703"/>
    <w:rsid w:val="001209D2"/>
    <w:rsid w:val="00130E7A"/>
    <w:rsid w:val="00147DF5"/>
    <w:rsid w:val="00161F03"/>
    <w:rsid w:val="00164690"/>
    <w:rsid w:val="00186FA5"/>
    <w:rsid w:val="001B35A8"/>
    <w:rsid w:val="001B65B3"/>
    <w:rsid w:val="001C5FD0"/>
    <w:rsid w:val="001D1A69"/>
    <w:rsid w:val="001D4656"/>
    <w:rsid w:val="001D7B23"/>
    <w:rsid w:val="001E0092"/>
    <w:rsid w:val="001E0A30"/>
    <w:rsid w:val="001E2237"/>
    <w:rsid w:val="001E433C"/>
    <w:rsid w:val="001F0FF0"/>
    <w:rsid w:val="001F1721"/>
    <w:rsid w:val="001F2C6D"/>
    <w:rsid w:val="001F4672"/>
    <w:rsid w:val="0020104D"/>
    <w:rsid w:val="00201934"/>
    <w:rsid w:val="00235C94"/>
    <w:rsid w:val="00241566"/>
    <w:rsid w:val="002453CF"/>
    <w:rsid w:val="002460CF"/>
    <w:rsid w:val="00253149"/>
    <w:rsid w:val="00262FC5"/>
    <w:rsid w:val="00271C92"/>
    <w:rsid w:val="00275226"/>
    <w:rsid w:val="0028763D"/>
    <w:rsid w:val="002A1886"/>
    <w:rsid w:val="002A3249"/>
    <w:rsid w:val="002A34EB"/>
    <w:rsid w:val="002C0019"/>
    <w:rsid w:val="002C183F"/>
    <w:rsid w:val="002C3168"/>
    <w:rsid w:val="002C56AA"/>
    <w:rsid w:val="002C6B98"/>
    <w:rsid w:val="002D2B73"/>
    <w:rsid w:val="002D4EC9"/>
    <w:rsid w:val="00301BF5"/>
    <w:rsid w:val="0030550B"/>
    <w:rsid w:val="00311FE2"/>
    <w:rsid w:val="00324F5C"/>
    <w:rsid w:val="00337155"/>
    <w:rsid w:val="00357FB1"/>
    <w:rsid w:val="00362552"/>
    <w:rsid w:val="0037214D"/>
    <w:rsid w:val="00387D1B"/>
    <w:rsid w:val="0039309E"/>
    <w:rsid w:val="00396C4C"/>
    <w:rsid w:val="003C0E11"/>
    <w:rsid w:val="003D0754"/>
    <w:rsid w:val="003E0A1F"/>
    <w:rsid w:val="003E45B2"/>
    <w:rsid w:val="00410047"/>
    <w:rsid w:val="0041058E"/>
    <w:rsid w:val="00416BCA"/>
    <w:rsid w:val="00431BC2"/>
    <w:rsid w:val="00440842"/>
    <w:rsid w:val="0044089A"/>
    <w:rsid w:val="00450043"/>
    <w:rsid w:val="0045179B"/>
    <w:rsid w:val="00471102"/>
    <w:rsid w:val="004804F8"/>
    <w:rsid w:val="00483B6B"/>
    <w:rsid w:val="004853AA"/>
    <w:rsid w:val="004936A4"/>
    <w:rsid w:val="00493F83"/>
    <w:rsid w:val="00494418"/>
    <w:rsid w:val="004A6097"/>
    <w:rsid w:val="004B1CCB"/>
    <w:rsid w:val="004B669E"/>
    <w:rsid w:val="004C15D3"/>
    <w:rsid w:val="004E4834"/>
    <w:rsid w:val="004E5E34"/>
    <w:rsid w:val="004F46A1"/>
    <w:rsid w:val="0050301E"/>
    <w:rsid w:val="00505E8A"/>
    <w:rsid w:val="00513345"/>
    <w:rsid w:val="005204D2"/>
    <w:rsid w:val="00527AD9"/>
    <w:rsid w:val="005301A2"/>
    <w:rsid w:val="005341ED"/>
    <w:rsid w:val="005463DA"/>
    <w:rsid w:val="005550EC"/>
    <w:rsid w:val="00557F81"/>
    <w:rsid w:val="00561BFE"/>
    <w:rsid w:val="0057444B"/>
    <w:rsid w:val="0058189D"/>
    <w:rsid w:val="00586266"/>
    <w:rsid w:val="005866A5"/>
    <w:rsid w:val="00595C04"/>
    <w:rsid w:val="00596244"/>
    <w:rsid w:val="005A0DCC"/>
    <w:rsid w:val="005A57CD"/>
    <w:rsid w:val="005B5A9E"/>
    <w:rsid w:val="005E14BA"/>
    <w:rsid w:val="005E1D44"/>
    <w:rsid w:val="005E1DC6"/>
    <w:rsid w:val="005F65DC"/>
    <w:rsid w:val="006016DF"/>
    <w:rsid w:val="006025A5"/>
    <w:rsid w:val="00615053"/>
    <w:rsid w:val="006378CA"/>
    <w:rsid w:val="0064461D"/>
    <w:rsid w:val="00654EFF"/>
    <w:rsid w:val="0066180B"/>
    <w:rsid w:val="006734A5"/>
    <w:rsid w:val="00681677"/>
    <w:rsid w:val="00682AFE"/>
    <w:rsid w:val="006A6A81"/>
    <w:rsid w:val="006B4118"/>
    <w:rsid w:val="006D61A0"/>
    <w:rsid w:val="006D7354"/>
    <w:rsid w:val="006F3280"/>
    <w:rsid w:val="006F3B84"/>
    <w:rsid w:val="006F729F"/>
    <w:rsid w:val="00703260"/>
    <w:rsid w:val="00705D57"/>
    <w:rsid w:val="007158DF"/>
    <w:rsid w:val="00723723"/>
    <w:rsid w:val="00752F95"/>
    <w:rsid w:val="0075360F"/>
    <w:rsid w:val="00755E86"/>
    <w:rsid w:val="007563D9"/>
    <w:rsid w:val="0075790C"/>
    <w:rsid w:val="00763D3C"/>
    <w:rsid w:val="007770E4"/>
    <w:rsid w:val="007819BC"/>
    <w:rsid w:val="00781DD2"/>
    <w:rsid w:val="00793D34"/>
    <w:rsid w:val="007A5CEF"/>
    <w:rsid w:val="007B0991"/>
    <w:rsid w:val="007B5FE2"/>
    <w:rsid w:val="007E0679"/>
    <w:rsid w:val="007F1368"/>
    <w:rsid w:val="007F1FFC"/>
    <w:rsid w:val="00800341"/>
    <w:rsid w:val="00804DC3"/>
    <w:rsid w:val="00805B5D"/>
    <w:rsid w:val="00855C68"/>
    <w:rsid w:val="008618E0"/>
    <w:rsid w:val="00864E00"/>
    <w:rsid w:val="00874FC3"/>
    <w:rsid w:val="00877070"/>
    <w:rsid w:val="008A79D5"/>
    <w:rsid w:val="008B191D"/>
    <w:rsid w:val="008B519B"/>
    <w:rsid w:val="008B717C"/>
    <w:rsid w:val="008D52F2"/>
    <w:rsid w:val="008E24DF"/>
    <w:rsid w:val="008F31C4"/>
    <w:rsid w:val="008F546C"/>
    <w:rsid w:val="00911AC7"/>
    <w:rsid w:val="0092605D"/>
    <w:rsid w:val="00943D76"/>
    <w:rsid w:val="00953E4B"/>
    <w:rsid w:val="009626E0"/>
    <w:rsid w:val="009631C8"/>
    <w:rsid w:val="00973C55"/>
    <w:rsid w:val="00984657"/>
    <w:rsid w:val="009875F7"/>
    <w:rsid w:val="0099733A"/>
    <w:rsid w:val="009A2BDB"/>
    <w:rsid w:val="009B5FF5"/>
    <w:rsid w:val="009C1424"/>
    <w:rsid w:val="009C30D9"/>
    <w:rsid w:val="009C41FB"/>
    <w:rsid w:val="009C592B"/>
    <w:rsid w:val="009E58F9"/>
    <w:rsid w:val="009E5E50"/>
    <w:rsid w:val="00A006EE"/>
    <w:rsid w:val="00A03F14"/>
    <w:rsid w:val="00A22CF0"/>
    <w:rsid w:val="00A358E6"/>
    <w:rsid w:val="00A416F5"/>
    <w:rsid w:val="00A4190B"/>
    <w:rsid w:val="00A4191F"/>
    <w:rsid w:val="00A41A0F"/>
    <w:rsid w:val="00A424A6"/>
    <w:rsid w:val="00A47821"/>
    <w:rsid w:val="00A74A37"/>
    <w:rsid w:val="00A775CC"/>
    <w:rsid w:val="00A8236F"/>
    <w:rsid w:val="00A85E06"/>
    <w:rsid w:val="00A86C1F"/>
    <w:rsid w:val="00A954D8"/>
    <w:rsid w:val="00AA4226"/>
    <w:rsid w:val="00AA6FF9"/>
    <w:rsid w:val="00AB472F"/>
    <w:rsid w:val="00AB63A1"/>
    <w:rsid w:val="00AC3F39"/>
    <w:rsid w:val="00AD1FEA"/>
    <w:rsid w:val="00AD3378"/>
    <w:rsid w:val="00B02EB9"/>
    <w:rsid w:val="00B15EA3"/>
    <w:rsid w:val="00B248A2"/>
    <w:rsid w:val="00B354D7"/>
    <w:rsid w:val="00B37939"/>
    <w:rsid w:val="00B42F0F"/>
    <w:rsid w:val="00B536EE"/>
    <w:rsid w:val="00B64A57"/>
    <w:rsid w:val="00B707EE"/>
    <w:rsid w:val="00B847C8"/>
    <w:rsid w:val="00B857C5"/>
    <w:rsid w:val="00B85928"/>
    <w:rsid w:val="00BA013B"/>
    <w:rsid w:val="00BA3BD7"/>
    <w:rsid w:val="00BC0ACA"/>
    <w:rsid w:val="00BC3741"/>
    <w:rsid w:val="00BC77D4"/>
    <w:rsid w:val="00BE6209"/>
    <w:rsid w:val="00BF4FFB"/>
    <w:rsid w:val="00C00B45"/>
    <w:rsid w:val="00C14070"/>
    <w:rsid w:val="00C25EB2"/>
    <w:rsid w:val="00C57A91"/>
    <w:rsid w:val="00C65484"/>
    <w:rsid w:val="00C748AE"/>
    <w:rsid w:val="00C80576"/>
    <w:rsid w:val="00C8149B"/>
    <w:rsid w:val="00C8765F"/>
    <w:rsid w:val="00CA1479"/>
    <w:rsid w:val="00CA7B03"/>
    <w:rsid w:val="00CB7557"/>
    <w:rsid w:val="00CC38F2"/>
    <w:rsid w:val="00CC5BAA"/>
    <w:rsid w:val="00CC6B6A"/>
    <w:rsid w:val="00CE4844"/>
    <w:rsid w:val="00CF1963"/>
    <w:rsid w:val="00CF48C9"/>
    <w:rsid w:val="00D0052F"/>
    <w:rsid w:val="00D009A6"/>
    <w:rsid w:val="00D00A5F"/>
    <w:rsid w:val="00D02E57"/>
    <w:rsid w:val="00D3043B"/>
    <w:rsid w:val="00D32265"/>
    <w:rsid w:val="00D442BE"/>
    <w:rsid w:val="00D50E46"/>
    <w:rsid w:val="00D55A8D"/>
    <w:rsid w:val="00D55CE9"/>
    <w:rsid w:val="00D56C39"/>
    <w:rsid w:val="00D7067F"/>
    <w:rsid w:val="00D807D4"/>
    <w:rsid w:val="00D8478B"/>
    <w:rsid w:val="00D87A31"/>
    <w:rsid w:val="00D91806"/>
    <w:rsid w:val="00DB1799"/>
    <w:rsid w:val="00DB5586"/>
    <w:rsid w:val="00DD013D"/>
    <w:rsid w:val="00DD0C92"/>
    <w:rsid w:val="00DD32FF"/>
    <w:rsid w:val="00DE1936"/>
    <w:rsid w:val="00DE244E"/>
    <w:rsid w:val="00DE3015"/>
    <w:rsid w:val="00E30872"/>
    <w:rsid w:val="00E343B2"/>
    <w:rsid w:val="00E355D4"/>
    <w:rsid w:val="00E36D8D"/>
    <w:rsid w:val="00E42101"/>
    <w:rsid w:val="00E45B2D"/>
    <w:rsid w:val="00E524D8"/>
    <w:rsid w:val="00E62180"/>
    <w:rsid w:val="00E74ABF"/>
    <w:rsid w:val="00E76679"/>
    <w:rsid w:val="00E776E5"/>
    <w:rsid w:val="00E82588"/>
    <w:rsid w:val="00E921D8"/>
    <w:rsid w:val="00EA29C7"/>
    <w:rsid w:val="00EA3906"/>
    <w:rsid w:val="00EC07B3"/>
    <w:rsid w:val="00EC3B48"/>
    <w:rsid w:val="00EE208E"/>
    <w:rsid w:val="00F05F19"/>
    <w:rsid w:val="00F10CE0"/>
    <w:rsid w:val="00F36A92"/>
    <w:rsid w:val="00F45FD9"/>
    <w:rsid w:val="00F63957"/>
    <w:rsid w:val="00F72DDE"/>
    <w:rsid w:val="00F81AD7"/>
    <w:rsid w:val="00F904E7"/>
    <w:rsid w:val="00F957F7"/>
    <w:rsid w:val="00FD3448"/>
    <w:rsid w:val="00FD473A"/>
    <w:rsid w:val="00FE7EB7"/>
  </w:rsids>
  <m:mathPr>
    <m:mathFont m:val="Cambria Math"/>
    <m:brkBin m:val="before"/>
    <m:brkBinSub m:val="--"/>
    <m:smallFrac m:val="0"/>
    <m:dispDef/>
    <m:lMargin m:val="0"/>
    <m:rMargin m:val="0"/>
    <m:defJc m:val="centerGroup"/>
    <m:wrapIndent m:val="1440"/>
    <m:intLim m:val="subSup"/>
    <m:naryLim m:val="undOvr"/>
  </m:mathPr>
  <w:themeFontLang w:val="en-GB" w:bidi="ne-N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94BAFE"/>
  <w15:docId w15:val="{E811C52F-73E7-4D45-AC93-1E329D7B77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E46"/>
  </w:style>
  <w:style w:type="paragraph" w:styleId="Heading1">
    <w:name w:val="heading 1"/>
    <w:basedOn w:val="Normal"/>
    <w:next w:val="Normal"/>
    <w:link w:val="Heading1Char"/>
    <w:uiPriority w:val="9"/>
    <w:qFormat/>
    <w:rsid w:val="00D50E46"/>
    <w:pPr>
      <w:keepNext/>
      <w:keepLines/>
      <w:spacing w:before="320" w:after="0" w:line="240" w:lineRule="auto"/>
      <w:outlineLvl w:val="0"/>
    </w:pPr>
    <w:rPr>
      <w:rFonts w:asciiTheme="majorHAnsi" w:eastAsiaTheme="majorEastAsia" w:hAnsiTheme="majorHAnsi" w:cstheme="majorBidi"/>
      <w:color w:val="6B911C" w:themeColor="accent1" w:themeShade="BF"/>
      <w:sz w:val="30"/>
      <w:szCs w:val="30"/>
    </w:rPr>
  </w:style>
  <w:style w:type="paragraph" w:styleId="Heading2">
    <w:name w:val="heading 2"/>
    <w:basedOn w:val="Normal"/>
    <w:next w:val="Normal"/>
    <w:link w:val="Heading2Char"/>
    <w:uiPriority w:val="9"/>
    <w:unhideWhenUsed/>
    <w:qFormat/>
    <w:rsid w:val="00D50E46"/>
    <w:pPr>
      <w:keepNext/>
      <w:keepLines/>
      <w:spacing w:before="40" w:after="0" w:line="240" w:lineRule="auto"/>
      <w:outlineLvl w:val="1"/>
    </w:pPr>
    <w:rPr>
      <w:rFonts w:asciiTheme="majorHAnsi" w:eastAsiaTheme="majorEastAsia" w:hAnsiTheme="majorHAnsi" w:cstheme="majorBidi"/>
      <w:color w:val="3E7718" w:themeColor="accent2" w:themeShade="BF"/>
      <w:sz w:val="28"/>
      <w:szCs w:val="28"/>
    </w:rPr>
  </w:style>
  <w:style w:type="paragraph" w:styleId="Heading3">
    <w:name w:val="heading 3"/>
    <w:basedOn w:val="Normal"/>
    <w:next w:val="Normal"/>
    <w:link w:val="Heading3Char"/>
    <w:uiPriority w:val="9"/>
    <w:unhideWhenUsed/>
    <w:qFormat/>
    <w:rsid w:val="00D50E46"/>
    <w:pPr>
      <w:keepNext/>
      <w:keepLines/>
      <w:spacing w:before="40" w:after="0" w:line="240" w:lineRule="auto"/>
      <w:outlineLvl w:val="2"/>
    </w:pPr>
    <w:rPr>
      <w:rFonts w:asciiTheme="majorHAnsi" w:eastAsiaTheme="majorEastAsia" w:hAnsiTheme="majorHAnsi" w:cstheme="majorBidi"/>
      <w:color w:val="6C643F" w:themeColor="accent6" w:themeShade="BF"/>
      <w:sz w:val="26"/>
      <w:szCs w:val="26"/>
    </w:rPr>
  </w:style>
  <w:style w:type="paragraph" w:styleId="Heading4">
    <w:name w:val="heading 4"/>
    <w:basedOn w:val="Normal"/>
    <w:next w:val="Normal"/>
    <w:link w:val="Heading4Char"/>
    <w:uiPriority w:val="9"/>
    <w:unhideWhenUsed/>
    <w:qFormat/>
    <w:rsid w:val="00D50E46"/>
    <w:pPr>
      <w:keepNext/>
      <w:keepLines/>
      <w:spacing w:before="40" w:after="0"/>
      <w:outlineLvl w:val="3"/>
    </w:pPr>
    <w:rPr>
      <w:rFonts w:asciiTheme="majorHAnsi" w:eastAsiaTheme="majorEastAsia" w:hAnsiTheme="majorHAnsi" w:cstheme="majorBidi"/>
      <w:i/>
      <w:iCs/>
      <w:color w:val="922213" w:themeColor="accent5" w:themeShade="BF"/>
      <w:sz w:val="25"/>
      <w:szCs w:val="25"/>
    </w:rPr>
  </w:style>
  <w:style w:type="paragraph" w:styleId="Heading5">
    <w:name w:val="heading 5"/>
    <w:basedOn w:val="Normal"/>
    <w:next w:val="Normal"/>
    <w:link w:val="Heading5Char"/>
    <w:uiPriority w:val="9"/>
    <w:semiHidden/>
    <w:unhideWhenUsed/>
    <w:qFormat/>
    <w:rsid w:val="00D50E46"/>
    <w:pPr>
      <w:keepNext/>
      <w:keepLines/>
      <w:spacing w:before="40" w:after="0"/>
      <w:outlineLvl w:val="4"/>
    </w:pPr>
    <w:rPr>
      <w:rFonts w:asciiTheme="majorHAnsi" w:eastAsiaTheme="majorEastAsia" w:hAnsiTheme="majorHAnsi" w:cstheme="majorBidi"/>
      <w:i/>
      <w:iCs/>
      <w:color w:val="2A5010" w:themeColor="accent2" w:themeShade="80"/>
      <w:sz w:val="24"/>
      <w:szCs w:val="24"/>
    </w:rPr>
  </w:style>
  <w:style w:type="paragraph" w:styleId="Heading6">
    <w:name w:val="heading 6"/>
    <w:basedOn w:val="Normal"/>
    <w:next w:val="Normal"/>
    <w:link w:val="Heading6Char"/>
    <w:uiPriority w:val="9"/>
    <w:semiHidden/>
    <w:unhideWhenUsed/>
    <w:qFormat/>
    <w:rsid w:val="00D50E46"/>
    <w:pPr>
      <w:keepNext/>
      <w:keepLines/>
      <w:spacing w:before="40" w:after="0"/>
      <w:outlineLvl w:val="5"/>
    </w:pPr>
    <w:rPr>
      <w:rFonts w:asciiTheme="majorHAnsi" w:eastAsiaTheme="majorEastAsia" w:hAnsiTheme="majorHAnsi" w:cstheme="majorBidi"/>
      <w:i/>
      <w:iCs/>
      <w:color w:val="48432A" w:themeColor="accent6" w:themeShade="80"/>
      <w:sz w:val="23"/>
      <w:szCs w:val="23"/>
    </w:rPr>
  </w:style>
  <w:style w:type="paragraph" w:styleId="Heading7">
    <w:name w:val="heading 7"/>
    <w:basedOn w:val="Normal"/>
    <w:next w:val="Normal"/>
    <w:link w:val="Heading7Char"/>
    <w:uiPriority w:val="9"/>
    <w:semiHidden/>
    <w:unhideWhenUsed/>
    <w:qFormat/>
    <w:rsid w:val="00D50E46"/>
    <w:pPr>
      <w:keepNext/>
      <w:keepLines/>
      <w:spacing w:before="40" w:after="0"/>
      <w:outlineLvl w:val="6"/>
    </w:pPr>
    <w:rPr>
      <w:rFonts w:asciiTheme="majorHAnsi" w:eastAsiaTheme="majorEastAsia" w:hAnsiTheme="majorHAnsi" w:cstheme="majorBidi"/>
      <w:color w:val="486113" w:themeColor="accent1" w:themeShade="80"/>
    </w:rPr>
  </w:style>
  <w:style w:type="paragraph" w:styleId="Heading8">
    <w:name w:val="heading 8"/>
    <w:basedOn w:val="Normal"/>
    <w:next w:val="Normal"/>
    <w:link w:val="Heading8Char"/>
    <w:uiPriority w:val="9"/>
    <w:semiHidden/>
    <w:unhideWhenUsed/>
    <w:qFormat/>
    <w:rsid w:val="00D50E46"/>
    <w:pPr>
      <w:keepNext/>
      <w:keepLines/>
      <w:spacing w:before="40" w:after="0"/>
      <w:outlineLvl w:val="7"/>
    </w:pPr>
    <w:rPr>
      <w:rFonts w:asciiTheme="majorHAnsi" w:eastAsiaTheme="majorEastAsia" w:hAnsiTheme="majorHAnsi" w:cstheme="majorBidi"/>
      <w:color w:val="2A5010" w:themeColor="accent2" w:themeShade="80"/>
      <w:sz w:val="21"/>
      <w:szCs w:val="21"/>
    </w:rPr>
  </w:style>
  <w:style w:type="paragraph" w:styleId="Heading9">
    <w:name w:val="heading 9"/>
    <w:basedOn w:val="Normal"/>
    <w:next w:val="Normal"/>
    <w:link w:val="Heading9Char"/>
    <w:uiPriority w:val="9"/>
    <w:semiHidden/>
    <w:unhideWhenUsed/>
    <w:qFormat/>
    <w:rsid w:val="00D50E46"/>
    <w:pPr>
      <w:keepNext/>
      <w:keepLines/>
      <w:spacing w:before="40" w:after="0"/>
      <w:outlineLvl w:val="8"/>
    </w:pPr>
    <w:rPr>
      <w:rFonts w:asciiTheme="majorHAnsi" w:eastAsiaTheme="majorEastAsia" w:hAnsiTheme="majorHAnsi" w:cstheme="majorBidi"/>
      <w:color w:val="48432A"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50E46"/>
    <w:pPr>
      <w:spacing w:after="0" w:line="240" w:lineRule="auto"/>
      <w:contextualSpacing/>
    </w:pPr>
    <w:rPr>
      <w:rFonts w:asciiTheme="majorHAnsi" w:eastAsiaTheme="majorEastAsia" w:hAnsiTheme="majorHAnsi" w:cstheme="majorBidi"/>
      <w:color w:val="6B911C" w:themeColor="accent1" w:themeShade="BF"/>
      <w:spacing w:val="-10"/>
      <w:sz w:val="52"/>
      <w:szCs w:val="52"/>
    </w:rPr>
  </w:style>
  <w:style w:type="paragraph" w:styleId="ListParagraph">
    <w:name w:val="List Paragraph"/>
    <w:basedOn w:val="Normal"/>
    <w:uiPriority w:val="34"/>
    <w:qFormat/>
    <w:rsid w:val="00096A91"/>
    <w:pPr>
      <w:ind w:left="720"/>
      <w:contextualSpacing/>
    </w:pPr>
  </w:style>
  <w:style w:type="table" w:styleId="TableGrid">
    <w:name w:val="Table Grid"/>
    <w:basedOn w:val="TableNormal"/>
    <w:uiPriority w:val="39"/>
    <w:rsid w:val="00D160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D50E46"/>
    <w:rPr>
      <w:rFonts w:asciiTheme="majorHAnsi" w:eastAsiaTheme="majorEastAsia" w:hAnsiTheme="majorHAnsi" w:cstheme="majorBidi"/>
      <w:color w:val="6B911C" w:themeColor="accent1" w:themeShade="BF"/>
      <w:sz w:val="30"/>
      <w:szCs w:val="30"/>
    </w:rPr>
  </w:style>
  <w:style w:type="character" w:customStyle="1" w:styleId="Heading2Char">
    <w:name w:val="Heading 2 Char"/>
    <w:basedOn w:val="DefaultParagraphFont"/>
    <w:link w:val="Heading2"/>
    <w:uiPriority w:val="9"/>
    <w:rsid w:val="00D50E46"/>
    <w:rPr>
      <w:rFonts w:asciiTheme="majorHAnsi" w:eastAsiaTheme="majorEastAsia" w:hAnsiTheme="majorHAnsi" w:cstheme="majorBidi"/>
      <w:color w:val="3E7718" w:themeColor="accent2" w:themeShade="BF"/>
      <w:sz w:val="28"/>
      <w:szCs w:val="28"/>
    </w:rPr>
  </w:style>
  <w:style w:type="character" w:customStyle="1" w:styleId="Heading3Char">
    <w:name w:val="Heading 3 Char"/>
    <w:basedOn w:val="DefaultParagraphFont"/>
    <w:link w:val="Heading3"/>
    <w:uiPriority w:val="9"/>
    <w:rsid w:val="00D50E46"/>
    <w:rPr>
      <w:rFonts w:asciiTheme="majorHAnsi" w:eastAsiaTheme="majorEastAsia" w:hAnsiTheme="majorHAnsi" w:cstheme="majorBidi"/>
      <w:color w:val="6C643F" w:themeColor="accent6" w:themeShade="BF"/>
      <w:sz w:val="26"/>
      <w:szCs w:val="26"/>
    </w:rPr>
  </w:style>
  <w:style w:type="character" w:customStyle="1" w:styleId="Heading4Char">
    <w:name w:val="Heading 4 Char"/>
    <w:basedOn w:val="DefaultParagraphFont"/>
    <w:link w:val="Heading4"/>
    <w:uiPriority w:val="9"/>
    <w:rsid w:val="00D50E46"/>
    <w:rPr>
      <w:rFonts w:asciiTheme="majorHAnsi" w:eastAsiaTheme="majorEastAsia" w:hAnsiTheme="majorHAnsi" w:cstheme="majorBidi"/>
      <w:i/>
      <w:iCs/>
      <w:color w:val="922213" w:themeColor="accent5" w:themeShade="BF"/>
      <w:sz w:val="25"/>
      <w:szCs w:val="25"/>
    </w:rPr>
  </w:style>
  <w:style w:type="character" w:customStyle="1" w:styleId="Heading5Char">
    <w:name w:val="Heading 5 Char"/>
    <w:basedOn w:val="DefaultParagraphFont"/>
    <w:link w:val="Heading5"/>
    <w:uiPriority w:val="9"/>
    <w:semiHidden/>
    <w:rsid w:val="00D50E46"/>
    <w:rPr>
      <w:rFonts w:asciiTheme="majorHAnsi" w:eastAsiaTheme="majorEastAsia" w:hAnsiTheme="majorHAnsi" w:cstheme="majorBidi"/>
      <w:i/>
      <w:iCs/>
      <w:color w:val="2A5010" w:themeColor="accent2" w:themeShade="80"/>
      <w:sz w:val="24"/>
      <w:szCs w:val="24"/>
    </w:rPr>
  </w:style>
  <w:style w:type="character" w:customStyle="1" w:styleId="Heading6Char">
    <w:name w:val="Heading 6 Char"/>
    <w:basedOn w:val="DefaultParagraphFont"/>
    <w:link w:val="Heading6"/>
    <w:uiPriority w:val="9"/>
    <w:semiHidden/>
    <w:rsid w:val="00D50E46"/>
    <w:rPr>
      <w:rFonts w:asciiTheme="majorHAnsi" w:eastAsiaTheme="majorEastAsia" w:hAnsiTheme="majorHAnsi" w:cstheme="majorBidi"/>
      <w:i/>
      <w:iCs/>
      <w:color w:val="48432A" w:themeColor="accent6" w:themeShade="80"/>
      <w:sz w:val="23"/>
      <w:szCs w:val="23"/>
    </w:rPr>
  </w:style>
  <w:style w:type="character" w:customStyle="1" w:styleId="Heading7Char">
    <w:name w:val="Heading 7 Char"/>
    <w:basedOn w:val="DefaultParagraphFont"/>
    <w:link w:val="Heading7"/>
    <w:uiPriority w:val="9"/>
    <w:semiHidden/>
    <w:rsid w:val="00D50E46"/>
    <w:rPr>
      <w:rFonts w:asciiTheme="majorHAnsi" w:eastAsiaTheme="majorEastAsia" w:hAnsiTheme="majorHAnsi" w:cstheme="majorBidi"/>
      <w:color w:val="486113" w:themeColor="accent1" w:themeShade="80"/>
    </w:rPr>
  </w:style>
  <w:style w:type="character" w:customStyle="1" w:styleId="Heading8Char">
    <w:name w:val="Heading 8 Char"/>
    <w:basedOn w:val="DefaultParagraphFont"/>
    <w:link w:val="Heading8"/>
    <w:uiPriority w:val="9"/>
    <w:semiHidden/>
    <w:rsid w:val="00D50E46"/>
    <w:rPr>
      <w:rFonts w:asciiTheme="majorHAnsi" w:eastAsiaTheme="majorEastAsia" w:hAnsiTheme="majorHAnsi" w:cstheme="majorBidi"/>
      <w:color w:val="2A5010" w:themeColor="accent2" w:themeShade="80"/>
      <w:sz w:val="21"/>
      <w:szCs w:val="21"/>
    </w:rPr>
  </w:style>
  <w:style w:type="character" w:customStyle="1" w:styleId="Heading9Char">
    <w:name w:val="Heading 9 Char"/>
    <w:basedOn w:val="DefaultParagraphFont"/>
    <w:link w:val="Heading9"/>
    <w:uiPriority w:val="9"/>
    <w:semiHidden/>
    <w:rsid w:val="00D50E46"/>
    <w:rPr>
      <w:rFonts w:asciiTheme="majorHAnsi" w:eastAsiaTheme="majorEastAsia" w:hAnsiTheme="majorHAnsi" w:cstheme="majorBidi"/>
      <w:color w:val="48432A" w:themeColor="accent6" w:themeShade="80"/>
    </w:rPr>
  </w:style>
  <w:style w:type="paragraph" w:styleId="Caption">
    <w:name w:val="caption"/>
    <w:basedOn w:val="Normal"/>
    <w:next w:val="Normal"/>
    <w:uiPriority w:val="35"/>
    <w:semiHidden/>
    <w:unhideWhenUsed/>
    <w:qFormat/>
    <w:rsid w:val="00D50E46"/>
    <w:pPr>
      <w:spacing w:line="240" w:lineRule="auto"/>
    </w:pPr>
    <w:rPr>
      <w:b/>
      <w:bCs/>
      <w:smallCaps/>
      <w:color w:val="90C226" w:themeColor="accent1"/>
      <w:spacing w:val="6"/>
    </w:rPr>
  </w:style>
  <w:style w:type="character" w:customStyle="1" w:styleId="TitleChar">
    <w:name w:val="Title Char"/>
    <w:basedOn w:val="DefaultParagraphFont"/>
    <w:link w:val="Title"/>
    <w:uiPriority w:val="10"/>
    <w:rsid w:val="00D50E46"/>
    <w:rPr>
      <w:rFonts w:asciiTheme="majorHAnsi" w:eastAsiaTheme="majorEastAsia" w:hAnsiTheme="majorHAnsi" w:cstheme="majorBidi"/>
      <w:color w:val="6B911C" w:themeColor="accent1" w:themeShade="BF"/>
      <w:spacing w:val="-10"/>
      <w:sz w:val="52"/>
      <w:szCs w:val="52"/>
    </w:rPr>
  </w:style>
  <w:style w:type="paragraph" w:styleId="Subtitle">
    <w:name w:val="Subtitle"/>
    <w:basedOn w:val="Normal"/>
    <w:next w:val="Normal"/>
    <w:link w:val="SubtitleChar"/>
    <w:uiPriority w:val="11"/>
    <w:qFormat/>
    <w:rsid w:val="00D50E46"/>
    <w:pPr>
      <w:numPr>
        <w:ilvl w:val="1"/>
      </w:numPr>
      <w:spacing w:line="240" w:lineRule="auto"/>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D50E46"/>
    <w:rPr>
      <w:rFonts w:asciiTheme="majorHAnsi" w:eastAsiaTheme="majorEastAsia" w:hAnsiTheme="majorHAnsi" w:cstheme="majorBidi"/>
    </w:rPr>
  </w:style>
  <w:style w:type="character" w:styleId="Strong">
    <w:name w:val="Strong"/>
    <w:basedOn w:val="DefaultParagraphFont"/>
    <w:uiPriority w:val="22"/>
    <w:qFormat/>
    <w:rsid w:val="00D50E46"/>
    <w:rPr>
      <w:b/>
      <w:bCs/>
    </w:rPr>
  </w:style>
  <w:style w:type="character" w:styleId="Emphasis">
    <w:name w:val="Emphasis"/>
    <w:basedOn w:val="DefaultParagraphFont"/>
    <w:uiPriority w:val="20"/>
    <w:qFormat/>
    <w:rsid w:val="00D50E46"/>
    <w:rPr>
      <w:i/>
      <w:iCs/>
    </w:rPr>
  </w:style>
  <w:style w:type="paragraph" w:styleId="NoSpacing">
    <w:name w:val="No Spacing"/>
    <w:link w:val="NoSpacingChar"/>
    <w:uiPriority w:val="1"/>
    <w:qFormat/>
    <w:rsid w:val="00D50E46"/>
    <w:pPr>
      <w:spacing w:after="0" w:line="240" w:lineRule="auto"/>
    </w:pPr>
  </w:style>
  <w:style w:type="paragraph" w:styleId="Quote">
    <w:name w:val="Quote"/>
    <w:basedOn w:val="Normal"/>
    <w:next w:val="Normal"/>
    <w:link w:val="QuoteChar"/>
    <w:uiPriority w:val="29"/>
    <w:qFormat/>
    <w:rsid w:val="00D50E46"/>
    <w:pPr>
      <w:spacing w:before="120"/>
      <w:ind w:left="720" w:right="720"/>
      <w:jc w:val="center"/>
    </w:pPr>
    <w:rPr>
      <w:i/>
      <w:iCs/>
    </w:rPr>
  </w:style>
  <w:style w:type="character" w:customStyle="1" w:styleId="QuoteChar">
    <w:name w:val="Quote Char"/>
    <w:basedOn w:val="DefaultParagraphFont"/>
    <w:link w:val="Quote"/>
    <w:uiPriority w:val="29"/>
    <w:rsid w:val="00D50E46"/>
    <w:rPr>
      <w:i/>
      <w:iCs/>
    </w:rPr>
  </w:style>
  <w:style w:type="paragraph" w:styleId="IntenseQuote">
    <w:name w:val="Intense Quote"/>
    <w:basedOn w:val="Normal"/>
    <w:next w:val="Normal"/>
    <w:link w:val="IntenseQuoteChar"/>
    <w:uiPriority w:val="30"/>
    <w:qFormat/>
    <w:rsid w:val="00D50E46"/>
    <w:pPr>
      <w:spacing w:before="120" w:line="300" w:lineRule="auto"/>
      <w:ind w:left="576" w:right="576"/>
      <w:jc w:val="center"/>
    </w:pPr>
    <w:rPr>
      <w:rFonts w:asciiTheme="majorHAnsi" w:eastAsiaTheme="majorEastAsia" w:hAnsiTheme="majorHAnsi" w:cstheme="majorBidi"/>
      <w:color w:val="90C226" w:themeColor="accent1"/>
      <w:sz w:val="24"/>
      <w:szCs w:val="24"/>
    </w:rPr>
  </w:style>
  <w:style w:type="character" w:customStyle="1" w:styleId="IntenseQuoteChar">
    <w:name w:val="Intense Quote Char"/>
    <w:basedOn w:val="DefaultParagraphFont"/>
    <w:link w:val="IntenseQuote"/>
    <w:uiPriority w:val="30"/>
    <w:rsid w:val="00D50E46"/>
    <w:rPr>
      <w:rFonts w:asciiTheme="majorHAnsi" w:eastAsiaTheme="majorEastAsia" w:hAnsiTheme="majorHAnsi" w:cstheme="majorBidi"/>
      <w:color w:val="90C226" w:themeColor="accent1"/>
      <w:sz w:val="24"/>
      <w:szCs w:val="24"/>
    </w:rPr>
  </w:style>
  <w:style w:type="character" w:styleId="SubtleEmphasis">
    <w:name w:val="Subtle Emphasis"/>
    <w:basedOn w:val="DefaultParagraphFont"/>
    <w:uiPriority w:val="19"/>
    <w:qFormat/>
    <w:rsid w:val="00D50E46"/>
    <w:rPr>
      <w:i/>
      <w:iCs/>
      <w:color w:val="404040" w:themeColor="text1" w:themeTint="BF"/>
    </w:rPr>
  </w:style>
  <w:style w:type="character" w:styleId="IntenseEmphasis">
    <w:name w:val="Intense Emphasis"/>
    <w:basedOn w:val="DefaultParagraphFont"/>
    <w:uiPriority w:val="21"/>
    <w:qFormat/>
    <w:rsid w:val="00D50E46"/>
    <w:rPr>
      <w:b w:val="0"/>
      <w:bCs w:val="0"/>
      <w:i/>
      <w:iCs/>
      <w:color w:val="90C226" w:themeColor="accent1"/>
    </w:rPr>
  </w:style>
  <w:style w:type="character" w:styleId="SubtleReference">
    <w:name w:val="Subtle Reference"/>
    <w:basedOn w:val="DefaultParagraphFont"/>
    <w:uiPriority w:val="31"/>
    <w:qFormat/>
    <w:rsid w:val="00D50E4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50E46"/>
    <w:rPr>
      <w:b/>
      <w:bCs/>
      <w:smallCaps/>
      <w:color w:val="90C226" w:themeColor="accent1"/>
      <w:spacing w:val="5"/>
      <w:u w:val="single"/>
    </w:rPr>
  </w:style>
  <w:style w:type="character" w:styleId="BookTitle">
    <w:name w:val="Book Title"/>
    <w:basedOn w:val="DefaultParagraphFont"/>
    <w:uiPriority w:val="33"/>
    <w:qFormat/>
    <w:rsid w:val="00D50E46"/>
    <w:rPr>
      <w:b/>
      <w:bCs/>
      <w:smallCaps/>
    </w:rPr>
  </w:style>
  <w:style w:type="paragraph" w:styleId="TOCHeading">
    <w:name w:val="TOC Heading"/>
    <w:basedOn w:val="Heading1"/>
    <w:next w:val="Normal"/>
    <w:uiPriority w:val="39"/>
    <w:semiHidden/>
    <w:unhideWhenUsed/>
    <w:qFormat/>
    <w:rsid w:val="00D50E46"/>
    <w:pPr>
      <w:outlineLvl w:val="9"/>
    </w:pPr>
  </w:style>
  <w:style w:type="paragraph" w:styleId="Header">
    <w:name w:val="header"/>
    <w:basedOn w:val="Normal"/>
    <w:link w:val="HeaderChar"/>
    <w:uiPriority w:val="99"/>
    <w:unhideWhenUsed/>
    <w:rsid w:val="002676F7"/>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76F7"/>
  </w:style>
  <w:style w:type="paragraph" w:styleId="Footer">
    <w:name w:val="footer"/>
    <w:basedOn w:val="Normal"/>
    <w:link w:val="FooterChar"/>
    <w:uiPriority w:val="99"/>
    <w:unhideWhenUsed/>
    <w:rsid w:val="002676F7"/>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76F7"/>
  </w:style>
  <w:style w:type="character" w:styleId="CommentReference">
    <w:name w:val="annotation reference"/>
    <w:basedOn w:val="DefaultParagraphFont"/>
    <w:uiPriority w:val="99"/>
    <w:semiHidden/>
    <w:unhideWhenUsed/>
    <w:rsid w:val="000D0280"/>
    <w:rPr>
      <w:sz w:val="16"/>
      <w:szCs w:val="16"/>
    </w:rPr>
  </w:style>
  <w:style w:type="paragraph" w:styleId="CommentText">
    <w:name w:val="annotation text"/>
    <w:basedOn w:val="Normal"/>
    <w:link w:val="CommentTextChar"/>
    <w:uiPriority w:val="99"/>
    <w:unhideWhenUsed/>
    <w:rsid w:val="000D0280"/>
    <w:pPr>
      <w:spacing w:line="240" w:lineRule="auto"/>
    </w:pPr>
    <w:rPr>
      <w:sz w:val="20"/>
      <w:szCs w:val="20"/>
    </w:rPr>
  </w:style>
  <w:style w:type="character" w:customStyle="1" w:styleId="CommentTextChar">
    <w:name w:val="Comment Text Char"/>
    <w:basedOn w:val="DefaultParagraphFont"/>
    <w:link w:val="CommentText"/>
    <w:uiPriority w:val="99"/>
    <w:rsid w:val="000D0280"/>
    <w:rPr>
      <w:sz w:val="20"/>
      <w:szCs w:val="20"/>
    </w:rPr>
  </w:style>
  <w:style w:type="paragraph" w:styleId="CommentSubject">
    <w:name w:val="annotation subject"/>
    <w:basedOn w:val="CommentText"/>
    <w:next w:val="CommentText"/>
    <w:link w:val="CommentSubjectChar"/>
    <w:uiPriority w:val="99"/>
    <w:semiHidden/>
    <w:unhideWhenUsed/>
    <w:rsid w:val="000D0280"/>
    <w:rPr>
      <w:b/>
      <w:bCs/>
    </w:rPr>
  </w:style>
  <w:style w:type="character" w:customStyle="1" w:styleId="CommentSubjectChar">
    <w:name w:val="Comment Subject Char"/>
    <w:basedOn w:val="CommentTextChar"/>
    <w:link w:val="CommentSubject"/>
    <w:uiPriority w:val="99"/>
    <w:semiHidden/>
    <w:rsid w:val="000D0280"/>
    <w:rPr>
      <w:b/>
      <w:bCs/>
      <w:sz w:val="20"/>
      <w:szCs w:val="20"/>
    </w:rPr>
  </w:style>
  <w:style w:type="paragraph" w:styleId="FootnoteText">
    <w:name w:val="footnote text"/>
    <w:basedOn w:val="Normal"/>
    <w:link w:val="FootnoteTextChar"/>
    <w:uiPriority w:val="99"/>
    <w:unhideWhenUsed/>
    <w:rsid w:val="00EA3906"/>
    <w:pPr>
      <w:spacing w:after="0" w:line="240" w:lineRule="auto"/>
    </w:pPr>
    <w:rPr>
      <w:sz w:val="20"/>
      <w:szCs w:val="20"/>
    </w:rPr>
  </w:style>
  <w:style w:type="character" w:customStyle="1" w:styleId="FootnoteTextChar">
    <w:name w:val="Footnote Text Char"/>
    <w:basedOn w:val="DefaultParagraphFont"/>
    <w:link w:val="FootnoteText"/>
    <w:uiPriority w:val="99"/>
    <w:rsid w:val="00EA3906"/>
    <w:rPr>
      <w:sz w:val="20"/>
      <w:szCs w:val="20"/>
    </w:rPr>
  </w:style>
  <w:style w:type="character" w:styleId="FootnoteReference">
    <w:name w:val="footnote reference"/>
    <w:basedOn w:val="DefaultParagraphFont"/>
    <w:uiPriority w:val="99"/>
    <w:semiHidden/>
    <w:unhideWhenUsed/>
    <w:rsid w:val="00EA3906"/>
    <w:rPr>
      <w:vertAlign w:val="superscript"/>
    </w:rPr>
  </w:style>
  <w:style w:type="paragraph" w:styleId="Revision">
    <w:name w:val="Revision"/>
    <w:hidden/>
    <w:uiPriority w:val="99"/>
    <w:semiHidden/>
    <w:rsid w:val="00911AC7"/>
    <w:pPr>
      <w:spacing w:after="0" w:line="240" w:lineRule="auto"/>
    </w:pPr>
  </w:style>
  <w:style w:type="character" w:customStyle="1" w:styleId="NoSpacingChar">
    <w:name w:val="No Spacing Char"/>
    <w:basedOn w:val="DefaultParagraphFont"/>
    <w:link w:val="NoSpacing"/>
    <w:uiPriority w:val="1"/>
    <w:rsid w:val="002A3249"/>
  </w:style>
  <w:style w:type="paragraph" w:customStyle="1" w:styleId="DecimalAligned">
    <w:name w:val="Decimal Aligned"/>
    <w:basedOn w:val="Normal"/>
    <w:uiPriority w:val="40"/>
    <w:qFormat/>
    <w:rsid w:val="00A47821"/>
    <w:pPr>
      <w:tabs>
        <w:tab w:val="decimal" w:pos="360"/>
      </w:tabs>
      <w:spacing w:after="200" w:line="276" w:lineRule="auto"/>
    </w:pPr>
    <w:rPr>
      <w:rFonts w:cs="Times New Roman"/>
      <w:lang w:val="en-US" w:eastAsia="en-US"/>
    </w:rPr>
  </w:style>
  <w:style w:type="table" w:styleId="LightShading-Accent1">
    <w:name w:val="Light Shading Accent 1"/>
    <w:basedOn w:val="TableNormal"/>
    <w:uiPriority w:val="60"/>
    <w:rsid w:val="00A47821"/>
    <w:pPr>
      <w:spacing w:after="0" w:line="240" w:lineRule="auto"/>
    </w:pPr>
    <w:rPr>
      <w:color w:val="6B911C" w:themeColor="accent1" w:themeShade="BF"/>
      <w:lang w:val="en-US" w:eastAsia="en-US"/>
    </w:rPr>
    <w:tblPr>
      <w:tblStyleRowBandSize w:val="1"/>
      <w:tblStyleColBandSize w:val="1"/>
      <w:tblBorders>
        <w:top w:val="single" w:sz="8" w:space="0" w:color="90C226" w:themeColor="accent1"/>
        <w:bottom w:val="single" w:sz="8" w:space="0" w:color="90C226" w:themeColor="accent1"/>
      </w:tblBorders>
    </w:tblPr>
    <w:tblStylePr w:type="firstRow">
      <w:pPr>
        <w:spacing w:before="0" w:after="0" w:line="240" w:lineRule="auto"/>
      </w:pPr>
      <w:rPr>
        <w:b/>
        <w:bCs/>
      </w:rPr>
      <w:tblPr/>
      <w:tcPr>
        <w:tcBorders>
          <w:top w:val="single" w:sz="8" w:space="0" w:color="90C226" w:themeColor="accent1"/>
          <w:left w:val="nil"/>
          <w:bottom w:val="single" w:sz="8" w:space="0" w:color="90C226" w:themeColor="accent1"/>
          <w:right w:val="nil"/>
          <w:insideH w:val="nil"/>
          <w:insideV w:val="nil"/>
        </w:tcBorders>
      </w:tcPr>
    </w:tblStylePr>
    <w:tblStylePr w:type="lastRow">
      <w:pPr>
        <w:spacing w:before="0" w:after="0" w:line="240" w:lineRule="auto"/>
      </w:pPr>
      <w:rPr>
        <w:b/>
        <w:bCs/>
      </w:rPr>
      <w:tblPr/>
      <w:tcPr>
        <w:tcBorders>
          <w:top w:val="single" w:sz="8" w:space="0" w:color="90C226" w:themeColor="accent1"/>
          <w:left w:val="nil"/>
          <w:bottom w:val="single" w:sz="8" w:space="0" w:color="90C226"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F3C5" w:themeFill="accent1" w:themeFillTint="3F"/>
      </w:tcPr>
    </w:tblStylePr>
    <w:tblStylePr w:type="band1Horz">
      <w:tblPr/>
      <w:tcPr>
        <w:tcBorders>
          <w:left w:val="nil"/>
          <w:right w:val="nil"/>
          <w:insideH w:val="nil"/>
          <w:insideV w:val="nil"/>
        </w:tcBorders>
        <w:shd w:val="clear" w:color="auto" w:fill="E4F3C5"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9274589">
      <w:bodyDiv w:val="1"/>
      <w:marLeft w:val="0"/>
      <w:marRight w:val="0"/>
      <w:marTop w:val="0"/>
      <w:marBottom w:val="0"/>
      <w:divBdr>
        <w:top w:val="none" w:sz="0" w:space="0" w:color="auto"/>
        <w:left w:val="none" w:sz="0" w:space="0" w:color="auto"/>
        <w:bottom w:val="none" w:sz="0" w:space="0" w:color="auto"/>
        <w:right w:val="none" w:sz="0" w:space="0" w:color="auto"/>
      </w:divBdr>
    </w:div>
    <w:div w:id="524178908">
      <w:bodyDiv w:val="1"/>
      <w:marLeft w:val="0"/>
      <w:marRight w:val="0"/>
      <w:marTop w:val="0"/>
      <w:marBottom w:val="0"/>
      <w:divBdr>
        <w:top w:val="none" w:sz="0" w:space="0" w:color="auto"/>
        <w:left w:val="none" w:sz="0" w:space="0" w:color="auto"/>
        <w:bottom w:val="none" w:sz="0" w:space="0" w:color="auto"/>
        <w:right w:val="none" w:sz="0" w:space="0" w:color="auto"/>
      </w:divBdr>
    </w:div>
    <w:div w:id="548883804">
      <w:bodyDiv w:val="1"/>
      <w:marLeft w:val="0"/>
      <w:marRight w:val="0"/>
      <w:marTop w:val="0"/>
      <w:marBottom w:val="0"/>
      <w:divBdr>
        <w:top w:val="none" w:sz="0" w:space="0" w:color="auto"/>
        <w:left w:val="none" w:sz="0" w:space="0" w:color="auto"/>
        <w:bottom w:val="none" w:sz="0" w:space="0" w:color="auto"/>
        <w:right w:val="none" w:sz="0" w:space="0" w:color="auto"/>
      </w:divBdr>
    </w:div>
    <w:div w:id="670302761">
      <w:bodyDiv w:val="1"/>
      <w:marLeft w:val="0"/>
      <w:marRight w:val="0"/>
      <w:marTop w:val="0"/>
      <w:marBottom w:val="0"/>
      <w:divBdr>
        <w:top w:val="none" w:sz="0" w:space="0" w:color="auto"/>
        <w:left w:val="none" w:sz="0" w:space="0" w:color="auto"/>
        <w:bottom w:val="none" w:sz="0" w:space="0" w:color="auto"/>
        <w:right w:val="none" w:sz="0" w:space="0" w:color="auto"/>
      </w:divBdr>
    </w:div>
    <w:div w:id="702050857">
      <w:bodyDiv w:val="1"/>
      <w:marLeft w:val="0"/>
      <w:marRight w:val="0"/>
      <w:marTop w:val="0"/>
      <w:marBottom w:val="0"/>
      <w:divBdr>
        <w:top w:val="none" w:sz="0" w:space="0" w:color="auto"/>
        <w:left w:val="none" w:sz="0" w:space="0" w:color="auto"/>
        <w:bottom w:val="none" w:sz="0" w:space="0" w:color="auto"/>
        <w:right w:val="none" w:sz="0" w:space="0" w:color="auto"/>
      </w:divBdr>
    </w:div>
    <w:div w:id="1231426298">
      <w:bodyDiv w:val="1"/>
      <w:marLeft w:val="0"/>
      <w:marRight w:val="0"/>
      <w:marTop w:val="0"/>
      <w:marBottom w:val="0"/>
      <w:divBdr>
        <w:top w:val="none" w:sz="0" w:space="0" w:color="auto"/>
        <w:left w:val="none" w:sz="0" w:space="0" w:color="auto"/>
        <w:bottom w:val="none" w:sz="0" w:space="0" w:color="auto"/>
        <w:right w:val="none" w:sz="0" w:space="0" w:color="auto"/>
      </w:divBdr>
    </w:div>
    <w:div w:id="12772979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Facet">
  <a:themeElements>
    <a:clrScheme name="Facet">
      <a:dk1>
        <a:sysClr val="windowText" lastClr="000000"/>
      </a:dk1>
      <a:lt1>
        <a:sysClr val="window" lastClr="FFFFFF"/>
      </a:lt1>
      <a:dk2>
        <a:srgbClr val="2C3C43"/>
      </a:dk2>
      <a:lt2>
        <a:srgbClr val="EBEBEB"/>
      </a:lt2>
      <a:accent1>
        <a:srgbClr val="90C226"/>
      </a:accent1>
      <a:accent2>
        <a:srgbClr val="54A021"/>
      </a:accent2>
      <a:accent3>
        <a:srgbClr val="E6B91E"/>
      </a:accent3>
      <a:accent4>
        <a:srgbClr val="E76618"/>
      </a:accent4>
      <a:accent5>
        <a:srgbClr val="C42F1A"/>
      </a:accent5>
      <a:accent6>
        <a:srgbClr val="918655"/>
      </a:accent6>
      <a:hlink>
        <a:srgbClr val="99CA3C"/>
      </a:hlink>
      <a:folHlink>
        <a:srgbClr val="B9D181"/>
      </a:folHlink>
    </a:clrScheme>
    <a:fontScheme name="Facet">
      <a:majorFont>
        <a:latin typeface="Trebuchet MS" panose="020B0603020202020204"/>
        <a:ea typeface=""/>
        <a:cs typeface=""/>
        <a:font script="Jpan" typeface="メイリオ"/>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メイリオ"/>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Facet">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Facet" id="{C0C680CD-088A-49FC-A102-D699147F32B2}" vid="{CFBC31BA-B70F-4F30-BCAA-4F3011E16C4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adxzJw70/TaMO4VxFZm37psQoA==">CgMxLjA4AHIhMTlTNV9LRG9lRWZ1cUM3OWxsLXVPVGFERnhjUmN6WG8z</go:docsCustomData>
</go:gDocsCustomXmlDataStorage>
</file>

<file path=customXml/itemProps1.xml><?xml version="1.0" encoding="utf-8"?>
<ds:datastoreItem xmlns:ds="http://schemas.openxmlformats.org/officeDocument/2006/customXml" ds:itemID="{C68A6311-7C92-497A-B722-71F5DB8BDF42}">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2548</Words>
  <Characters>13975</Characters>
  <Application>Microsoft Office Word</Application>
  <DocSecurity>0</DocSecurity>
  <Lines>116</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 Rach</dc:creator>
  <cp:lastModifiedBy>Cristina REKAKAVAS</cp:lastModifiedBy>
  <cp:revision>5</cp:revision>
  <dcterms:created xsi:type="dcterms:W3CDTF">2024-08-07T10:45:00Z</dcterms:created>
  <dcterms:modified xsi:type="dcterms:W3CDTF">2024-10-23T06:38:00Z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3f1443218a7d29e3682e670d6efef06eab240f6975ed94750f57f9ebe47602a8</vt:lpwstr>
  </property>
</Properties>
</file>